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rsidTr="00951B2B">
        <w:tc>
          <w:tcPr>
            <w:tcW w:w="6912" w:type="dxa"/>
          </w:tcPr>
          <w:p w:rsidR="00242633" w:rsidRPr="00784955" w:rsidRDefault="00242633">
            <w:pPr>
              <w:pStyle w:val="Heading7"/>
              <w:rPr>
                <w:rFonts w:ascii="Arial" w:hAnsi="Arial" w:cs="Arial"/>
                <w:szCs w:val="24"/>
              </w:rPr>
            </w:pPr>
            <w:r w:rsidRPr="00784955">
              <w:rPr>
                <w:rFonts w:ascii="Arial" w:hAnsi="Arial" w:cs="Arial"/>
                <w:szCs w:val="24"/>
              </w:rPr>
              <w:t>WEST LONDON WASTE AUTHORITY</w:t>
            </w:r>
          </w:p>
        </w:tc>
        <w:tc>
          <w:tcPr>
            <w:tcW w:w="3402" w:type="dxa"/>
          </w:tcPr>
          <w:p w:rsidR="00242633" w:rsidRPr="00784955" w:rsidRDefault="00242633" w:rsidP="005E6835">
            <w:pPr>
              <w:spacing w:after="240"/>
              <w:ind w:right="317"/>
              <w:jc w:val="right"/>
              <w:rPr>
                <w:rFonts w:ascii="Arial" w:hAnsi="Arial" w:cs="Arial"/>
                <w:szCs w:val="24"/>
              </w:rPr>
            </w:pPr>
          </w:p>
        </w:tc>
      </w:tr>
      <w:tr w:rsidR="00242633" w:rsidRPr="00784955" w:rsidTr="00951B2B">
        <w:tc>
          <w:tcPr>
            <w:tcW w:w="6912" w:type="dxa"/>
          </w:tcPr>
          <w:p w:rsidR="00242633" w:rsidRPr="00D67B0C" w:rsidRDefault="00242633" w:rsidP="00C51B59">
            <w:pPr>
              <w:spacing w:after="240"/>
              <w:rPr>
                <w:rFonts w:ascii="Arial" w:hAnsi="Arial" w:cs="Arial"/>
                <w:szCs w:val="24"/>
              </w:rPr>
            </w:pPr>
            <w:r w:rsidRPr="00784955">
              <w:rPr>
                <w:rFonts w:ascii="Arial" w:hAnsi="Arial" w:cs="Arial"/>
                <w:szCs w:val="24"/>
              </w:rPr>
              <w:t xml:space="preserve">Report of the </w:t>
            </w:r>
            <w:r w:rsidR="00D67B0C">
              <w:rPr>
                <w:rFonts w:ascii="Arial" w:hAnsi="Arial" w:cs="Arial"/>
                <w:szCs w:val="24"/>
              </w:rPr>
              <w:t>Treasurer</w:t>
            </w:r>
            <w:r w:rsidR="00C51B59">
              <w:rPr>
                <w:rFonts w:ascii="Arial" w:hAnsi="Arial" w:cs="Arial"/>
                <w:szCs w:val="24"/>
              </w:rPr>
              <w:t xml:space="preserve"> </w:t>
            </w:r>
            <w:r w:rsidR="00484BA7">
              <w:rPr>
                <w:rFonts w:ascii="Arial" w:hAnsi="Arial" w:cs="Arial"/>
                <w:szCs w:val="24"/>
              </w:rPr>
              <w:t>and Managing Director</w:t>
            </w:r>
          </w:p>
        </w:tc>
        <w:tc>
          <w:tcPr>
            <w:tcW w:w="3402" w:type="dxa"/>
          </w:tcPr>
          <w:p w:rsidR="00242633" w:rsidRPr="00784955" w:rsidRDefault="005C70BE" w:rsidP="001D1966">
            <w:pPr>
              <w:spacing w:after="240"/>
              <w:ind w:left="34"/>
              <w:jc w:val="right"/>
              <w:rPr>
                <w:rFonts w:ascii="Arial" w:hAnsi="Arial" w:cs="Arial"/>
                <w:szCs w:val="24"/>
              </w:rPr>
            </w:pPr>
            <w:r>
              <w:rPr>
                <w:rFonts w:ascii="Arial" w:hAnsi="Arial" w:cs="Arial"/>
                <w:szCs w:val="24"/>
              </w:rPr>
              <w:t>2</w:t>
            </w:r>
            <w:r w:rsidR="001D1966">
              <w:rPr>
                <w:rFonts w:ascii="Arial" w:hAnsi="Arial" w:cs="Arial"/>
                <w:szCs w:val="24"/>
              </w:rPr>
              <w:t>8</w:t>
            </w:r>
            <w:r w:rsidR="005F5A17">
              <w:rPr>
                <w:rFonts w:ascii="Arial" w:hAnsi="Arial" w:cs="Arial"/>
                <w:szCs w:val="24"/>
              </w:rPr>
              <w:t xml:space="preserve"> Ju</w:t>
            </w:r>
            <w:r>
              <w:rPr>
                <w:rFonts w:ascii="Arial" w:hAnsi="Arial" w:cs="Arial"/>
                <w:szCs w:val="24"/>
              </w:rPr>
              <w:t>ne</w:t>
            </w:r>
            <w:r w:rsidR="005F5A17">
              <w:rPr>
                <w:rFonts w:ascii="Arial" w:hAnsi="Arial" w:cs="Arial"/>
                <w:szCs w:val="24"/>
              </w:rPr>
              <w:t xml:space="preserve"> </w:t>
            </w:r>
            <w:r w:rsidR="00C37937">
              <w:rPr>
                <w:rFonts w:ascii="Arial" w:hAnsi="Arial" w:cs="Arial"/>
                <w:szCs w:val="24"/>
              </w:rPr>
              <w:t>201</w:t>
            </w:r>
            <w:r w:rsidR="001D1966">
              <w:rPr>
                <w:rFonts w:ascii="Arial" w:hAnsi="Arial" w:cs="Arial"/>
                <w:szCs w:val="24"/>
              </w:rPr>
              <w:t>9</w:t>
            </w:r>
          </w:p>
        </w:tc>
      </w:tr>
      <w:tr w:rsidR="00242633" w:rsidRPr="00784955" w:rsidTr="00951B2B">
        <w:trPr>
          <w:cantSplit/>
        </w:trPr>
        <w:tc>
          <w:tcPr>
            <w:tcW w:w="10314" w:type="dxa"/>
            <w:gridSpan w:val="2"/>
          </w:tcPr>
          <w:p w:rsidR="00242633" w:rsidRPr="00784955" w:rsidRDefault="00C37937" w:rsidP="001D1966">
            <w:pPr>
              <w:spacing w:after="360"/>
              <w:rPr>
                <w:rFonts w:ascii="Arial" w:hAnsi="Arial" w:cs="Arial"/>
                <w:b/>
                <w:szCs w:val="24"/>
              </w:rPr>
            </w:pPr>
            <w:r>
              <w:rPr>
                <w:rFonts w:ascii="Arial" w:hAnsi="Arial" w:cs="Arial"/>
                <w:b/>
                <w:szCs w:val="24"/>
              </w:rPr>
              <w:t>Statement of Accounts for the year ending 31 March 201</w:t>
            </w:r>
            <w:r w:rsidR="001D1966">
              <w:rPr>
                <w:rFonts w:ascii="Arial" w:hAnsi="Arial" w:cs="Arial"/>
                <w:b/>
                <w:szCs w:val="24"/>
              </w:rPr>
              <w:t>9</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C13CC9" w:rsidRPr="00784955" w:rsidRDefault="00784955" w:rsidP="001D1966">
            <w:pPr>
              <w:pStyle w:val="BodyText"/>
              <w:spacing w:after="120"/>
              <w:rPr>
                <w:rFonts w:ascii="Arial" w:hAnsi="Arial" w:cs="Arial"/>
                <w:szCs w:val="24"/>
                <w:lang w:val="en-GB"/>
              </w:rPr>
            </w:pPr>
            <w:r>
              <w:rPr>
                <w:rFonts w:ascii="Arial" w:hAnsi="Arial" w:cs="Arial"/>
                <w:szCs w:val="24"/>
                <w:lang w:val="en-GB"/>
              </w:rPr>
              <w:t xml:space="preserve">This report </w:t>
            </w:r>
            <w:r w:rsidR="00623D61">
              <w:rPr>
                <w:rFonts w:ascii="Arial" w:hAnsi="Arial" w:cs="Arial"/>
                <w:szCs w:val="24"/>
                <w:lang w:val="en-GB"/>
              </w:rPr>
              <w:t xml:space="preserve">presents the </w:t>
            </w:r>
            <w:r w:rsidR="00D55812">
              <w:rPr>
                <w:rFonts w:ascii="Arial" w:hAnsi="Arial" w:cs="Arial"/>
                <w:szCs w:val="24"/>
                <w:lang w:val="en-GB"/>
              </w:rPr>
              <w:t>201</w:t>
            </w:r>
            <w:r w:rsidR="001D1966">
              <w:rPr>
                <w:rFonts w:ascii="Arial" w:hAnsi="Arial" w:cs="Arial"/>
                <w:szCs w:val="24"/>
                <w:lang w:val="en-GB"/>
              </w:rPr>
              <w:t>8</w:t>
            </w:r>
            <w:r w:rsidR="00D55812">
              <w:rPr>
                <w:rFonts w:ascii="Arial" w:hAnsi="Arial" w:cs="Arial"/>
                <w:szCs w:val="24"/>
                <w:lang w:val="en-GB"/>
              </w:rPr>
              <w:t>/1</w:t>
            </w:r>
            <w:r w:rsidR="001D1966">
              <w:rPr>
                <w:rFonts w:ascii="Arial" w:hAnsi="Arial" w:cs="Arial"/>
                <w:szCs w:val="24"/>
                <w:lang w:val="en-GB"/>
              </w:rPr>
              <w:t>9</w:t>
            </w:r>
            <w:r w:rsidR="00D55812">
              <w:rPr>
                <w:rFonts w:ascii="Arial" w:hAnsi="Arial" w:cs="Arial"/>
                <w:szCs w:val="24"/>
                <w:lang w:val="en-GB"/>
              </w:rPr>
              <w:t xml:space="preserve"> Statement of Accounts</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784955" w:rsidRDefault="00242633">
            <w:pPr>
              <w:spacing w:before="120" w:after="120"/>
              <w:rPr>
                <w:rFonts w:ascii="Arial" w:hAnsi="Arial" w:cs="Arial"/>
                <w:szCs w:val="24"/>
              </w:rPr>
            </w:pPr>
            <w:bookmarkStart w:id="0" w:name="_GoBack"/>
            <w:r w:rsidRPr="00784955">
              <w:rPr>
                <w:rFonts w:ascii="Arial" w:hAnsi="Arial" w:cs="Arial"/>
                <w:b/>
                <w:szCs w:val="24"/>
              </w:rPr>
              <w:t>RECO</w:t>
            </w:r>
            <w:bookmarkEnd w:id="0"/>
            <w:r w:rsidRPr="00784955">
              <w:rPr>
                <w:rFonts w:ascii="Arial" w:hAnsi="Arial" w:cs="Arial"/>
                <w:b/>
                <w:szCs w:val="24"/>
              </w:rPr>
              <w:t>MMENDATION</w:t>
            </w:r>
            <w:r w:rsidR="00F909D8" w:rsidRPr="00F909D8">
              <w:rPr>
                <w:rFonts w:ascii="Arial" w:hAnsi="Arial" w:cs="Arial"/>
                <w:b/>
                <w:szCs w:val="24"/>
              </w:rPr>
              <w:t>(S)</w:t>
            </w:r>
          </w:p>
          <w:p w:rsidR="00C1425C" w:rsidRPr="00C639B0" w:rsidRDefault="005F0B46" w:rsidP="00C1425C">
            <w:pPr>
              <w:pStyle w:val="Header"/>
              <w:tabs>
                <w:tab w:val="clear" w:pos="4153"/>
                <w:tab w:val="clear" w:pos="8306"/>
              </w:tabs>
              <w:spacing w:after="240"/>
              <w:jc w:val="both"/>
              <w:rPr>
                <w:rFonts w:ascii="Arial" w:hAnsi="Arial" w:cs="Arial"/>
                <w:szCs w:val="24"/>
              </w:rPr>
            </w:pPr>
            <w:r w:rsidRPr="00C639B0">
              <w:rPr>
                <w:rFonts w:ascii="Arial" w:hAnsi="Arial" w:cs="Arial"/>
                <w:szCs w:val="24"/>
              </w:rPr>
              <w:t xml:space="preserve">The </w:t>
            </w:r>
            <w:r w:rsidR="00B1609A">
              <w:rPr>
                <w:rFonts w:ascii="Arial" w:hAnsi="Arial" w:cs="Arial"/>
                <w:szCs w:val="24"/>
                <w:lang w:val="en-GB"/>
              </w:rPr>
              <w:t xml:space="preserve">Authority </w:t>
            </w:r>
            <w:r w:rsidR="00E23658" w:rsidRPr="00C639B0">
              <w:rPr>
                <w:rFonts w:ascii="Arial" w:hAnsi="Arial" w:cs="Arial"/>
                <w:szCs w:val="24"/>
              </w:rPr>
              <w:t>is asked to:-</w:t>
            </w:r>
          </w:p>
          <w:p w:rsidR="00465466" w:rsidRPr="00680EFF" w:rsidRDefault="00C277A2" w:rsidP="008A1783">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 xml:space="preserve">Approve </w:t>
            </w:r>
            <w:r w:rsidR="00465466">
              <w:rPr>
                <w:rFonts w:ascii="Arial" w:hAnsi="Arial" w:cs="Arial"/>
                <w:szCs w:val="24"/>
              </w:rPr>
              <w:t>the 201</w:t>
            </w:r>
            <w:r w:rsidR="00465466">
              <w:rPr>
                <w:rFonts w:ascii="Arial" w:hAnsi="Arial" w:cs="Arial"/>
                <w:szCs w:val="24"/>
                <w:lang w:val="en-GB"/>
              </w:rPr>
              <w:t>8</w:t>
            </w:r>
            <w:r w:rsidR="00465466">
              <w:rPr>
                <w:rFonts w:ascii="Arial" w:hAnsi="Arial" w:cs="Arial"/>
                <w:szCs w:val="24"/>
              </w:rPr>
              <w:t>/1</w:t>
            </w:r>
            <w:r w:rsidR="00465466">
              <w:rPr>
                <w:rFonts w:ascii="Arial" w:hAnsi="Arial" w:cs="Arial"/>
                <w:szCs w:val="24"/>
                <w:lang w:val="en-GB"/>
              </w:rPr>
              <w:t>9</w:t>
            </w:r>
            <w:r w:rsidR="00465466">
              <w:rPr>
                <w:rFonts w:ascii="Arial" w:hAnsi="Arial" w:cs="Arial"/>
                <w:szCs w:val="24"/>
              </w:rPr>
              <w:t xml:space="preserve"> </w:t>
            </w:r>
            <w:r w:rsidR="00465466">
              <w:rPr>
                <w:rFonts w:ascii="Arial" w:hAnsi="Arial" w:cs="Arial"/>
                <w:szCs w:val="24"/>
                <w:lang w:val="en-GB"/>
              </w:rPr>
              <w:t xml:space="preserve">Statement of Accounts </w:t>
            </w:r>
          </w:p>
          <w:p w:rsidR="00680EFF" w:rsidRPr="00465466" w:rsidRDefault="00680EFF" w:rsidP="008A1783">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 xml:space="preserve">Delegate authority to the Chair to approve any changes resulting from the LPFAs’ auditors assurance to EY expected in mid-July </w:t>
            </w:r>
          </w:p>
          <w:p w:rsidR="0088452D" w:rsidRPr="001D1966" w:rsidRDefault="00465466" w:rsidP="00465466">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 xml:space="preserve">Approve </w:t>
            </w:r>
            <w:r w:rsidR="0088452D">
              <w:rPr>
                <w:rFonts w:ascii="Arial" w:hAnsi="Arial" w:cs="Arial"/>
                <w:szCs w:val="24"/>
                <w:lang w:val="en-GB"/>
              </w:rPr>
              <w:t xml:space="preserve">the excess reserve disbursement to boroughs </w:t>
            </w:r>
          </w:p>
        </w:tc>
      </w:tr>
    </w:tbl>
    <w:p w:rsidR="009F7880" w:rsidRDefault="009F7880" w:rsidP="00C2799A">
      <w:pPr>
        <w:spacing w:before="480" w:after="120"/>
        <w:jc w:val="both"/>
        <w:rPr>
          <w:rFonts w:ascii="Arial" w:hAnsi="Arial" w:cs="Arial"/>
          <w:b/>
          <w:szCs w:val="24"/>
        </w:rPr>
      </w:pPr>
      <w:r>
        <w:rPr>
          <w:rFonts w:ascii="Arial" w:hAnsi="Arial" w:cs="Arial"/>
          <w:b/>
          <w:szCs w:val="24"/>
          <w:lang w:val="en-US"/>
        </w:rPr>
        <w:t>Introduction</w:t>
      </w:r>
      <w:r w:rsidR="00C526A7" w:rsidRPr="0028083B">
        <w:rPr>
          <w:rFonts w:ascii="Arial" w:hAnsi="Arial" w:cs="Arial"/>
          <w:b/>
          <w:szCs w:val="24"/>
          <w:lang w:val="en-US"/>
        </w:rPr>
        <w:t xml:space="preserve">  </w:t>
      </w:r>
    </w:p>
    <w:p w:rsidR="007F399C" w:rsidRDefault="00042D9A" w:rsidP="00552CEB">
      <w:pPr>
        <w:pStyle w:val="ListParagraph"/>
        <w:numPr>
          <w:ilvl w:val="0"/>
          <w:numId w:val="30"/>
        </w:numPr>
        <w:spacing w:after="120"/>
        <w:jc w:val="both"/>
        <w:rPr>
          <w:sz w:val="24"/>
          <w:szCs w:val="24"/>
          <w:lang w:val="en-US"/>
        </w:rPr>
      </w:pPr>
      <w:r w:rsidRPr="00552CEB">
        <w:rPr>
          <w:sz w:val="24"/>
          <w:szCs w:val="24"/>
          <w:lang w:val="en-US"/>
        </w:rPr>
        <w:t>It is a statutory requirement to publish signed and certified Statement of Accounts by 3</w:t>
      </w:r>
      <w:r w:rsidR="00C51B59">
        <w:rPr>
          <w:sz w:val="24"/>
          <w:szCs w:val="24"/>
          <w:lang w:val="en-US"/>
        </w:rPr>
        <w:t>1 July</w:t>
      </w:r>
      <w:r w:rsidRPr="00552CEB">
        <w:rPr>
          <w:sz w:val="24"/>
          <w:szCs w:val="24"/>
          <w:lang w:val="en-US"/>
        </w:rPr>
        <w:t>.</w:t>
      </w:r>
      <w:r w:rsidR="00A54079" w:rsidRPr="00552CEB">
        <w:rPr>
          <w:sz w:val="24"/>
          <w:szCs w:val="24"/>
          <w:lang w:val="en-US"/>
        </w:rPr>
        <w:t xml:space="preserve"> </w:t>
      </w:r>
      <w:r w:rsidR="00C51B59">
        <w:rPr>
          <w:sz w:val="24"/>
          <w:szCs w:val="24"/>
          <w:lang w:val="en-US"/>
        </w:rPr>
        <w:t>D</w:t>
      </w:r>
      <w:r w:rsidR="00A54079" w:rsidRPr="00552CEB">
        <w:rPr>
          <w:sz w:val="24"/>
          <w:szCs w:val="24"/>
          <w:lang w:val="en-US"/>
        </w:rPr>
        <w:t xml:space="preserve">raft </w:t>
      </w:r>
      <w:r w:rsidR="00C51B59">
        <w:rPr>
          <w:sz w:val="24"/>
          <w:szCs w:val="24"/>
          <w:lang w:val="en-US"/>
        </w:rPr>
        <w:t xml:space="preserve">accounts were </w:t>
      </w:r>
      <w:r w:rsidR="00232345" w:rsidRPr="00552CEB">
        <w:rPr>
          <w:sz w:val="24"/>
          <w:szCs w:val="24"/>
          <w:lang w:val="en-US"/>
        </w:rPr>
        <w:t xml:space="preserve">produced </w:t>
      </w:r>
      <w:r w:rsidR="00A54079" w:rsidRPr="00552CEB">
        <w:rPr>
          <w:sz w:val="24"/>
          <w:szCs w:val="24"/>
          <w:lang w:val="en-US"/>
        </w:rPr>
        <w:t xml:space="preserve">in </w:t>
      </w:r>
      <w:r w:rsidR="00C51B59">
        <w:rPr>
          <w:sz w:val="24"/>
          <w:szCs w:val="24"/>
          <w:lang w:val="en-US"/>
        </w:rPr>
        <w:t xml:space="preserve">April and were audited </w:t>
      </w:r>
      <w:r w:rsidR="007F399C">
        <w:rPr>
          <w:sz w:val="24"/>
          <w:szCs w:val="24"/>
          <w:lang w:val="en-US"/>
        </w:rPr>
        <w:t xml:space="preserve">by </w:t>
      </w:r>
      <w:r w:rsidR="005F5A17">
        <w:rPr>
          <w:sz w:val="24"/>
          <w:szCs w:val="24"/>
          <w:lang w:val="en-US"/>
        </w:rPr>
        <w:t>Ernst &amp; Young</w:t>
      </w:r>
      <w:r w:rsidR="007F399C">
        <w:rPr>
          <w:sz w:val="24"/>
          <w:szCs w:val="24"/>
          <w:lang w:val="en-US"/>
        </w:rPr>
        <w:t>, our external auditors</w:t>
      </w:r>
      <w:r w:rsidR="00C51B59">
        <w:rPr>
          <w:sz w:val="24"/>
          <w:szCs w:val="24"/>
          <w:lang w:val="en-US"/>
        </w:rPr>
        <w:t xml:space="preserve"> during May</w:t>
      </w:r>
      <w:r w:rsidR="007C721D">
        <w:rPr>
          <w:sz w:val="24"/>
          <w:szCs w:val="24"/>
          <w:lang w:val="en-US"/>
        </w:rPr>
        <w:t xml:space="preserve">. </w:t>
      </w:r>
    </w:p>
    <w:p w:rsidR="001D1966" w:rsidRDefault="001D1966" w:rsidP="001D1966">
      <w:pPr>
        <w:pStyle w:val="ListParagraph"/>
        <w:spacing w:after="120"/>
        <w:ind w:left="360"/>
        <w:jc w:val="both"/>
        <w:rPr>
          <w:sz w:val="24"/>
          <w:szCs w:val="24"/>
          <w:lang w:val="en-US"/>
        </w:rPr>
      </w:pPr>
    </w:p>
    <w:p w:rsidR="00A54079" w:rsidRPr="00D55812" w:rsidRDefault="00252AE3" w:rsidP="00552CEB">
      <w:pPr>
        <w:pStyle w:val="ListParagraph"/>
        <w:numPr>
          <w:ilvl w:val="0"/>
          <w:numId w:val="30"/>
        </w:numPr>
        <w:spacing w:after="120"/>
        <w:jc w:val="both"/>
        <w:rPr>
          <w:sz w:val="24"/>
          <w:szCs w:val="24"/>
          <w:lang w:val="en-US"/>
        </w:rPr>
      </w:pPr>
      <w:r>
        <w:rPr>
          <w:sz w:val="24"/>
          <w:szCs w:val="24"/>
          <w:lang w:val="en-US"/>
        </w:rPr>
        <w:t xml:space="preserve">The </w:t>
      </w:r>
      <w:r w:rsidR="00D55812">
        <w:rPr>
          <w:sz w:val="24"/>
          <w:szCs w:val="24"/>
          <w:lang w:val="en-US"/>
        </w:rPr>
        <w:t>preceding papers at this meeting</w:t>
      </w:r>
      <w:r w:rsidR="00C17754">
        <w:rPr>
          <w:sz w:val="24"/>
          <w:szCs w:val="24"/>
          <w:lang w:val="en-US"/>
        </w:rPr>
        <w:t xml:space="preserve"> provide assurance about the accounts and the control environment in operation during the year</w:t>
      </w:r>
      <w:r>
        <w:rPr>
          <w:sz w:val="24"/>
          <w:szCs w:val="24"/>
          <w:lang w:val="en-US"/>
        </w:rPr>
        <w:t xml:space="preserve"> and support the recommendation</w:t>
      </w:r>
      <w:r w:rsidR="00A54079" w:rsidRPr="00D55812">
        <w:rPr>
          <w:sz w:val="24"/>
          <w:szCs w:val="24"/>
          <w:lang w:val="en-US"/>
        </w:rPr>
        <w:t>:</w:t>
      </w:r>
    </w:p>
    <w:p w:rsidR="00A54079" w:rsidRPr="00552CEB" w:rsidRDefault="00A54079" w:rsidP="00C2799A">
      <w:pPr>
        <w:pStyle w:val="ListParagraph"/>
        <w:numPr>
          <w:ilvl w:val="0"/>
          <w:numId w:val="28"/>
        </w:numPr>
        <w:spacing w:after="120"/>
        <w:ind w:left="910"/>
        <w:jc w:val="both"/>
        <w:rPr>
          <w:sz w:val="24"/>
          <w:szCs w:val="24"/>
          <w:lang w:val="en-US"/>
        </w:rPr>
      </w:pPr>
      <w:r w:rsidRPr="00552CEB">
        <w:rPr>
          <w:sz w:val="24"/>
          <w:szCs w:val="24"/>
          <w:lang w:val="en-US"/>
        </w:rPr>
        <w:t>A</w:t>
      </w:r>
      <w:r w:rsidR="00AB16C7">
        <w:rPr>
          <w:sz w:val="24"/>
          <w:szCs w:val="24"/>
          <w:lang w:val="en-US"/>
        </w:rPr>
        <w:t>n audit</w:t>
      </w:r>
      <w:r w:rsidRPr="00552CEB">
        <w:rPr>
          <w:sz w:val="24"/>
          <w:szCs w:val="24"/>
          <w:lang w:val="en-US"/>
        </w:rPr>
        <w:t xml:space="preserve"> report from the </w:t>
      </w:r>
      <w:r w:rsidR="00557FA0">
        <w:rPr>
          <w:sz w:val="24"/>
          <w:szCs w:val="24"/>
          <w:lang w:val="en-US"/>
        </w:rPr>
        <w:t>e</w:t>
      </w:r>
      <w:r w:rsidRPr="00552CEB">
        <w:rPr>
          <w:sz w:val="24"/>
          <w:szCs w:val="24"/>
          <w:lang w:val="en-US"/>
        </w:rPr>
        <w:t xml:space="preserve">xternal </w:t>
      </w:r>
      <w:r w:rsidR="00557FA0">
        <w:rPr>
          <w:sz w:val="24"/>
          <w:szCs w:val="24"/>
          <w:lang w:val="en-US"/>
        </w:rPr>
        <w:t>a</w:t>
      </w:r>
      <w:r w:rsidRPr="00552CEB">
        <w:rPr>
          <w:sz w:val="24"/>
          <w:szCs w:val="24"/>
          <w:lang w:val="en-US"/>
        </w:rPr>
        <w:t xml:space="preserve">uditors, </w:t>
      </w:r>
      <w:r w:rsidR="005F5A17">
        <w:rPr>
          <w:sz w:val="24"/>
          <w:szCs w:val="24"/>
          <w:lang w:val="en-US"/>
        </w:rPr>
        <w:t>Ernst &amp; Young</w:t>
      </w:r>
    </w:p>
    <w:p w:rsidR="00A54079" w:rsidRPr="00552CEB" w:rsidRDefault="00A54079" w:rsidP="00C2799A">
      <w:pPr>
        <w:pStyle w:val="ListParagraph"/>
        <w:numPr>
          <w:ilvl w:val="0"/>
          <w:numId w:val="28"/>
        </w:numPr>
        <w:spacing w:after="120"/>
        <w:ind w:left="910"/>
        <w:jc w:val="both"/>
        <w:rPr>
          <w:sz w:val="24"/>
          <w:szCs w:val="24"/>
          <w:lang w:val="en-US"/>
        </w:rPr>
      </w:pPr>
      <w:r w:rsidRPr="00552CEB">
        <w:rPr>
          <w:sz w:val="24"/>
          <w:szCs w:val="24"/>
          <w:lang w:val="en-US"/>
        </w:rPr>
        <w:t>A</w:t>
      </w:r>
      <w:r w:rsidR="00AB16C7">
        <w:rPr>
          <w:sz w:val="24"/>
          <w:szCs w:val="24"/>
          <w:lang w:val="en-US"/>
        </w:rPr>
        <w:t xml:space="preserve">n annual assurance </w:t>
      </w:r>
      <w:r w:rsidRPr="00552CEB">
        <w:rPr>
          <w:sz w:val="24"/>
          <w:szCs w:val="24"/>
          <w:lang w:val="en-US"/>
        </w:rPr>
        <w:t xml:space="preserve">report from the </w:t>
      </w:r>
      <w:r w:rsidR="00557FA0">
        <w:rPr>
          <w:sz w:val="24"/>
          <w:szCs w:val="24"/>
          <w:lang w:val="en-US"/>
        </w:rPr>
        <w:t>i</w:t>
      </w:r>
      <w:r w:rsidRPr="00552CEB">
        <w:rPr>
          <w:sz w:val="24"/>
          <w:szCs w:val="24"/>
          <w:lang w:val="en-US"/>
        </w:rPr>
        <w:t xml:space="preserve">nternal </w:t>
      </w:r>
      <w:r w:rsidR="00557FA0">
        <w:rPr>
          <w:sz w:val="24"/>
          <w:szCs w:val="24"/>
          <w:lang w:val="en-US"/>
        </w:rPr>
        <w:t>a</w:t>
      </w:r>
      <w:r w:rsidRPr="00552CEB">
        <w:rPr>
          <w:sz w:val="24"/>
          <w:szCs w:val="24"/>
          <w:lang w:val="en-US"/>
        </w:rPr>
        <w:t xml:space="preserve">uditors, </w:t>
      </w:r>
      <w:r w:rsidR="00AB16C7">
        <w:rPr>
          <w:sz w:val="24"/>
          <w:szCs w:val="24"/>
          <w:lang w:val="en-US"/>
        </w:rPr>
        <w:t>t</w:t>
      </w:r>
      <w:r w:rsidRPr="00552CEB">
        <w:rPr>
          <w:sz w:val="24"/>
          <w:szCs w:val="24"/>
          <w:lang w:val="en-US"/>
        </w:rPr>
        <w:t xml:space="preserve">he London Borough of </w:t>
      </w:r>
      <w:proofErr w:type="spellStart"/>
      <w:r w:rsidRPr="00552CEB">
        <w:rPr>
          <w:sz w:val="24"/>
          <w:szCs w:val="24"/>
          <w:lang w:val="en-US"/>
        </w:rPr>
        <w:t>Hillingdon</w:t>
      </w:r>
      <w:proofErr w:type="spellEnd"/>
    </w:p>
    <w:p w:rsidR="00A54079" w:rsidRDefault="00A54079" w:rsidP="00C2799A">
      <w:pPr>
        <w:pStyle w:val="ListParagraph"/>
        <w:numPr>
          <w:ilvl w:val="0"/>
          <w:numId w:val="28"/>
        </w:numPr>
        <w:spacing w:after="120"/>
        <w:ind w:left="910"/>
        <w:jc w:val="both"/>
        <w:rPr>
          <w:sz w:val="24"/>
          <w:szCs w:val="24"/>
          <w:lang w:val="en-US"/>
        </w:rPr>
      </w:pPr>
      <w:r w:rsidRPr="00552CEB">
        <w:rPr>
          <w:sz w:val="24"/>
          <w:szCs w:val="24"/>
          <w:lang w:val="en-US"/>
        </w:rPr>
        <w:t>An Assurance Statement from Chief Officers</w:t>
      </w:r>
      <w:r w:rsidR="00DC5144" w:rsidRPr="00552CEB">
        <w:rPr>
          <w:sz w:val="24"/>
          <w:szCs w:val="24"/>
          <w:lang w:val="en-US"/>
        </w:rPr>
        <w:t xml:space="preserve"> of the Authority</w:t>
      </w:r>
      <w:r w:rsidR="001D1966">
        <w:rPr>
          <w:sz w:val="24"/>
          <w:szCs w:val="24"/>
          <w:lang w:val="en-US"/>
        </w:rPr>
        <w:t xml:space="preserve"> and its Senior Managers</w:t>
      </w:r>
    </w:p>
    <w:p w:rsidR="005D06D8" w:rsidRDefault="005D06D8" w:rsidP="00C2799A">
      <w:pPr>
        <w:pStyle w:val="ListParagraph"/>
        <w:numPr>
          <w:ilvl w:val="0"/>
          <w:numId w:val="28"/>
        </w:numPr>
        <w:spacing w:after="120"/>
        <w:ind w:left="910"/>
        <w:jc w:val="both"/>
        <w:rPr>
          <w:sz w:val="24"/>
          <w:szCs w:val="24"/>
          <w:lang w:val="en-US"/>
        </w:rPr>
      </w:pPr>
      <w:r>
        <w:rPr>
          <w:sz w:val="24"/>
          <w:szCs w:val="24"/>
          <w:lang w:val="en-US"/>
        </w:rPr>
        <w:t>The risk register</w:t>
      </w:r>
      <w:r w:rsidR="001D1966">
        <w:rPr>
          <w:sz w:val="24"/>
          <w:szCs w:val="24"/>
          <w:lang w:val="en-US"/>
        </w:rPr>
        <w:t xml:space="preserve"> highlighting the mitigation and controls in relation to key risk</w:t>
      </w:r>
      <w:r w:rsidR="00BE5CC8">
        <w:rPr>
          <w:sz w:val="24"/>
          <w:szCs w:val="24"/>
          <w:lang w:val="en-US"/>
        </w:rPr>
        <w:t>s</w:t>
      </w:r>
    </w:p>
    <w:p w:rsidR="00836A54" w:rsidRPr="007C3C7B" w:rsidRDefault="00836A54" w:rsidP="00836A54">
      <w:pPr>
        <w:pStyle w:val="ListParagraph"/>
        <w:autoSpaceDE w:val="0"/>
        <w:autoSpaceDN w:val="0"/>
        <w:adjustRightInd w:val="0"/>
        <w:spacing w:after="120"/>
        <w:ind w:left="360"/>
        <w:jc w:val="both"/>
        <w:rPr>
          <w:szCs w:val="24"/>
          <w:lang w:eastAsia="en-GB"/>
        </w:rPr>
      </w:pPr>
    </w:p>
    <w:p w:rsidR="00836A54" w:rsidRDefault="00836A54" w:rsidP="00836A54">
      <w:pPr>
        <w:autoSpaceDE w:val="0"/>
        <w:autoSpaceDN w:val="0"/>
        <w:adjustRightInd w:val="0"/>
        <w:spacing w:after="120"/>
        <w:jc w:val="both"/>
        <w:rPr>
          <w:rFonts w:ascii="Arial" w:hAnsi="Arial" w:cs="Arial"/>
          <w:szCs w:val="24"/>
          <w:lang w:eastAsia="en-GB"/>
        </w:rPr>
      </w:pPr>
      <w:r w:rsidRPr="00310CCF">
        <w:rPr>
          <w:rFonts w:ascii="Arial" w:hAnsi="Arial" w:cs="Arial"/>
          <w:b/>
          <w:szCs w:val="24"/>
          <w:lang w:eastAsia="en-GB"/>
        </w:rPr>
        <w:t>Statement of Accounts</w:t>
      </w:r>
      <w:r w:rsidRPr="00310CCF">
        <w:rPr>
          <w:rFonts w:ascii="Arial" w:hAnsi="Arial" w:cs="Arial"/>
          <w:szCs w:val="24"/>
          <w:lang w:eastAsia="en-GB"/>
        </w:rPr>
        <w:t xml:space="preserve"> </w:t>
      </w:r>
    </w:p>
    <w:p w:rsidR="005D06D8" w:rsidRDefault="005D06D8" w:rsidP="005D06D8">
      <w:pPr>
        <w:pStyle w:val="ListParagraph"/>
        <w:numPr>
          <w:ilvl w:val="0"/>
          <w:numId w:val="30"/>
        </w:numPr>
        <w:autoSpaceDE w:val="0"/>
        <w:autoSpaceDN w:val="0"/>
        <w:adjustRightInd w:val="0"/>
        <w:spacing w:after="120"/>
        <w:jc w:val="both"/>
        <w:rPr>
          <w:sz w:val="24"/>
          <w:szCs w:val="24"/>
          <w:lang w:eastAsia="en-GB"/>
        </w:rPr>
      </w:pPr>
      <w:r w:rsidRPr="008E5D5D">
        <w:rPr>
          <w:sz w:val="24"/>
          <w:szCs w:val="24"/>
          <w:lang w:eastAsia="en-GB"/>
        </w:rPr>
        <w:t xml:space="preserve">The Statement of Accounts can be found in Appendix </w:t>
      </w:r>
      <w:r w:rsidR="00487A54">
        <w:rPr>
          <w:sz w:val="24"/>
          <w:szCs w:val="24"/>
          <w:lang w:eastAsia="en-GB"/>
        </w:rPr>
        <w:t>2</w:t>
      </w:r>
      <w:r w:rsidRPr="008E5D5D">
        <w:rPr>
          <w:sz w:val="24"/>
          <w:szCs w:val="24"/>
          <w:lang w:eastAsia="en-GB"/>
        </w:rPr>
        <w:t xml:space="preserve">. </w:t>
      </w:r>
      <w:r>
        <w:rPr>
          <w:sz w:val="24"/>
          <w:szCs w:val="24"/>
          <w:lang w:eastAsia="en-GB"/>
        </w:rPr>
        <w:t xml:space="preserve">The key sections of </w:t>
      </w:r>
      <w:r w:rsidRPr="008738BE">
        <w:rPr>
          <w:sz w:val="24"/>
          <w:szCs w:val="24"/>
          <w:lang w:eastAsia="en-GB"/>
        </w:rPr>
        <w:t xml:space="preserve">the draft accounts </w:t>
      </w:r>
      <w:r>
        <w:rPr>
          <w:sz w:val="24"/>
          <w:szCs w:val="24"/>
          <w:lang w:eastAsia="en-GB"/>
        </w:rPr>
        <w:t>are explained below</w:t>
      </w:r>
      <w:r w:rsidRPr="008738BE">
        <w:rPr>
          <w:sz w:val="24"/>
          <w:szCs w:val="24"/>
          <w:lang w:eastAsia="en-GB"/>
        </w:rPr>
        <w:t>:</w:t>
      </w:r>
    </w:p>
    <w:p w:rsidR="005D06D8" w:rsidRPr="008738BE" w:rsidRDefault="005D06D8" w:rsidP="005D06D8">
      <w:pPr>
        <w:pStyle w:val="ListParagraph"/>
        <w:autoSpaceDE w:val="0"/>
        <w:autoSpaceDN w:val="0"/>
        <w:adjustRightInd w:val="0"/>
        <w:spacing w:after="120"/>
        <w:ind w:left="360"/>
        <w:jc w:val="both"/>
        <w:rPr>
          <w:sz w:val="24"/>
          <w:szCs w:val="24"/>
          <w:lang w:eastAsia="en-GB"/>
        </w:rPr>
      </w:pPr>
    </w:p>
    <w:p w:rsidR="005D06D8" w:rsidRPr="008738BE" w:rsidRDefault="005D06D8" w:rsidP="005D06D8">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Narrative Statement</w:t>
      </w:r>
      <w:r w:rsidRPr="008738BE">
        <w:rPr>
          <w:sz w:val="24"/>
          <w:szCs w:val="24"/>
          <w:lang w:eastAsia="en-GB"/>
        </w:rPr>
        <w:t xml:space="preserve"> (page </w:t>
      </w:r>
      <w:r>
        <w:rPr>
          <w:sz w:val="24"/>
          <w:szCs w:val="24"/>
          <w:lang w:eastAsia="en-GB"/>
        </w:rPr>
        <w:t>2</w:t>
      </w:r>
      <w:r w:rsidRPr="008738BE">
        <w:rPr>
          <w:sz w:val="24"/>
          <w:szCs w:val="24"/>
          <w:lang w:eastAsia="en-GB"/>
        </w:rPr>
        <w:t xml:space="preserve">) – This section provides background about the Authority’s operations. It also summarises the financial position and performance for the year. </w:t>
      </w:r>
    </w:p>
    <w:p w:rsidR="005D06D8" w:rsidRPr="008738BE" w:rsidRDefault="005D06D8" w:rsidP="005D06D8">
      <w:pPr>
        <w:pStyle w:val="ListParagraph"/>
        <w:rPr>
          <w:sz w:val="24"/>
          <w:szCs w:val="24"/>
          <w:lang w:eastAsia="en-GB"/>
        </w:rPr>
      </w:pPr>
    </w:p>
    <w:p w:rsidR="003C537D" w:rsidRDefault="003C537D" w:rsidP="005D06D8">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Accounting Policies (page 7) – This section explains the Authority’s key accounting policies. These are long standing and pretty much standard local authority accounting policies which are used in maintaining records and producing the financial statements</w:t>
      </w:r>
    </w:p>
    <w:p w:rsidR="003C537D" w:rsidRPr="003C537D" w:rsidRDefault="003C537D" w:rsidP="003C537D">
      <w:pPr>
        <w:pStyle w:val="ListParagraph"/>
        <w:rPr>
          <w:sz w:val="24"/>
          <w:szCs w:val="24"/>
          <w:lang w:eastAsia="en-GB"/>
        </w:rPr>
      </w:pPr>
    </w:p>
    <w:p w:rsidR="00252AE3" w:rsidRDefault="005D06D8" w:rsidP="005D06D8">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Statement of Responsibilities for the Statement of Accounts (page 1</w:t>
      </w:r>
      <w:r w:rsidR="00134830">
        <w:rPr>
          <w:sz w:val="24"/>
          <w:szCs w:val="24"/>
          <w:lang w:eastAsia="en-GB"/>
        </w:rPr>
        <w:t>4</w:t>
      </w:r>
      <w:r w:rsidRPr="008738BE">
        <w:rPr>
          <w:sz w:val="24"/>
          <w:szCs w:val="24"/>
          <w:lang w:eastAsia="en-GB"/>
        </w:rPr>
        <w:t xml:space="preserve">) - This is a brief statement outlining the Authority’s requirements in relation to the Accounts and the role and responsibility of the Treasurer, principally to ensure the accounts present a true and fair view </w:t>
      </w:r>
    </w:p>
    <w:p w:rsidR="005D06D8" w:rsidRPr="008738BE" w:rsidRDefault="005D06D8" w:rsidP="00252AE3">
      <w:pPr>
        <w:pStyle w:val="ListParagraph"/>
        <w:autoSpaceDE w:val="0"/>
        <w:autoSpaceDN w:val="0"/>
        <w:adjustRightInd w:val="0"/>
        <w:spacing w:after="120"/>
        <w:ind w:left="360"/>
        <w:jc w:val="both"/>
        <w:rPr>
          <w:sz w:val="24"/>
          <w:szCs w:val="24"/>
          <w:lang w:eastAsia="en-GB"/>
        </w:rPr>
      </w:pPr>
      <w:r w:rsidRPr="008738BE">
        <w:rPr>
          <w:sz w:val="24"/>
          <w:szCs w:val="24"/>
          <w:lang w:eastAsia="en-GB"/>
        </w:rPr>
        <w:lastRenderedPageBreak/>
        <w:t>of the Authority’s finances. This is where the Treasurer certifies the Statement of Accounts and the Chair signs them on behalf of the Authority.</w:t>
      </w:r>
    </w:p>
    <w:p w:rsidR="005D06D8" w:rsidRPr="008738BE" w:rsidRDefault="005D06D8" w:rsidP="005D06D8">
      <w:pPr>
        <w:pStyle w:val="ListParagraph"/>
        <w:rPr>
          <w:sz w:val="24"/>
          <w:szCs w:val="24"/>
          <w:lang w:eastAsia="en-GB"/>
        </w:rPr>
      </w:pPr>
    </w:p>
    <w:p w:rsidR="005D06D8" w:rsidRPr="008738BE" w:rsidRDefault="005D06D8" w:rsidP="005D06D8">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Comprehensive Income and Expenditure Statement (page 1</w:t>
      </w:r>
      <w:r w:rsidR="00134830">
        <w:rPr>
          <w:sz w:val="24"/>
          <w:szCs w:val="24"/>
          <w:lang w:eastAsia="en-GB"/>
        </w:rPr>
        <w:t>5</w:t>
      </w:r>
      <w:r w:rsidRPr="008738BE">
        <w:rPr>
          <w:sz w:val="24"/>
          <w:szCs w:val="24"/>
          <w:lang w:eastAsia="en-GB"/>
        </w:rPr>
        <w:t xml:space="preserve">) – This is a core financial statement. It shows the financial performance during the year. The operating performance is highlighted in the surplus </w:t>
      </w:r>
      <w:r>
        <w:rPr>
          <w:sz w:val="24"/>
          <w:szCs w:val="24"/>
          <w:lang w:eastAsia="en-GB"/>
        </w:rPr>
        <w:t>on provision of services</w:t>
      </w:r>
      <w:r w:rsidRPr="008738BE">
        <w:rPr>
          <w:sz w:val="24"/>
          <w:szCs w:val="24"/>
          <w:lang w:eastAsia="en-GB"/>
        </w:rPr>
        <w:t xml:space="preserve"> of £</w:t>
      </w:r>
      <w:r w:rsidR="00BE5CC8">
        <w:rPr>
          <w:sz w:val="24"/>
          <w:szCs w:val="24"/>
          <w:lang w:eastAsia="en-GB"/>
        </w:rPr>
        <w:t>2</w:t>
      </w:r>
      <w:r>
        <w:rPr>
          <w:sz w:val="24"/>
          <w:szCs w:val="24"/>
          <w:lang w:eastAsia="en-GB"/>
        </w:rPr>
        <w:t>.</w:t>
      </w:r>
      <w:r w:rsidR="00BE5CC8">
        <w:rPr>
          <w:sz w:val="24"/>
          <w:szCs w:val="24"/>
          <w:lang w:eastAsia="en-GB"/>
        </w:rPr>
        <w:t>873</w:t>
      </w:r>
      <w:r>
        <w:rPr>
          <w:sz w:val="24"/>
          <w:szCs w:val="24"/>
          <w:lang w:eastAsia="en-GB"/>
        </w:rPr>
        <w:t xml:space="preserve"> </w:t>
      </w:r>
      <w:r w:rsidRPr="008738BE">
        <w:rPr>
          <w:sz w:val="24"/>
          <w:szCs w:val="24"/>
          <w:lang w:eastAsia="en-GB"/>
        </w:rPr>
        <w:t xml:space="preserve">million. The </w:t>
      </w:r>
      <w:r w:rsidR="003C537D">
        <w:rPr>
          <w:sz w:val="24"/>
          <w:szCs w:val="24"/>
          <w:lang w:eastAsia="en-GB"/>
        </w:rPr>
        <w:t xml:space="preserve">improvement in the </w:t>
      </w:r>
      <w:r>
        <w:rPr>
          <w:sz w:val="24"/>
          <w:szCs w:val="24"/>
          <w:lang w:eastAsia="en-GB"/>
        </w:rPr>
        <w:t xml:space="preserve">pension </w:t>
      </w:r>
      <w:r w:rsidRPr="008738BE">
        <w:rPr>
          <w:sz w:val="24"/>
          <w:szCs w:val="24"/>
          <w:lang w:eastAsia="en-GB"/>
        </w:rPr>
        <w:t xml:space="preserve">valuation </w:t>
      </w:r>
      <w:r w:rsidR="00557FA0">
        <w:rPr>
          <w:sz w:val="24"/>
          <w:szCs w:val="24"/>
          <w:lang w:eastAsia="en-GB"/>
        </w:rPr>
        <w:t xml:space="preserve">and reduction in property valuation </w:t>
      </w:r>
      <w:r w:rsidRPr="008738BE">
        <w:rPr>
          <w:sz w:val="24"/>
          <w:szCs w:val="24"/>
          <w:lang w:eastAsia="en-GB"/>
        </w:rPr>
        <w:t>then follow</w:t>
      </w:r>
      <w:r w:rsidR="00557FA0">
        <w:rPr>
          <w:sz w:val="24"/>
          <w:szCs w:val="24"/>
          <w:lang w:eastAsia="en-GB"/>
        </w:rPr>
        <w:t>,</w:t>
      </w:r>
      <w:r w:rsidRPr="008738BE">
        <w:rPr>
          <w:sz w:val="24"/>
          <w:szCs w:val="24"/>
          <w:lang w:eastAsia="en-GB"/>
        </w:rPr>
        <w:t xml:space="preserve"> resulting in a net </w:t>
      </w:r>
      <w:r>
        <w:rPr>
          <w:sz w:val="24"/>
          <w:szCs w:val="24"/>
          <w:lang w:eastAsia="en-GB"/>
        </w:rPr>
        <w:t xml:space="preserve">gain </w:t>
      </w:r>
      <w:r w:rsidRPr="008738BE">
        <w:rPr>
          <w:sz w:val="24"/>
          <w:szCs w:val="24"/>
          <w:lang w:eastAsia="en-GB"/>
        </w:rPr>
        <w:t>in reserves or the total comprehensive income and expenditure of £</w:t>
      </w:r>
      <w:r w:rsidR="00BE5CC8">
        <w:rPr>
          <w:sz w:val="24"/>
          <w:szCs w:val="24"/>
          <w:lang w:eastAsia="en-GB"/>
        </w:rPr>
        <w:t>3</w:t>
      </w:r>
      <w:r>
        <w:rPr>
          <w:sz w:val="24"/>
          <w:szCs w:val="24"/>
          <w:lang w:eastAsia="en-GB"/>
        </w:rPr>
        <w:t>.</w:t>
      </w:r>
      <w:r w:rsidR="00557FA0">
        <w:rPr>
          <w:sz w:val="24"/>
          <w:szCs w:val="24"/>
          <w:lang w:eastAsia="en-GB"/>
        </w:rPr>
        <w:t>01</w:t>
      </w:r>
      <w:r w:rsidR="00BE5CC8">
        <w:rPr>
          <w:sz w:val="24"/>
          <w:szCs w:val="24"/>
          <w:lang w:eastAsia="en-GB"/>
        </w:rPr>
        <w:t>5</w:t>
      </w:r>
      <w:r w:rsidRPr="008738BE">
        <w:rPr>
          <w:sz w:val="24"/>
          <w:szCs w:val="24"/>
          <w:lang w:eastAsia="en-GB"/>
        </w:rPr>
        <w:t xml:space="preserve"> million. </w:t>
      </w:r>
    </w:p>
    <w:p w:rsidR="005D06D8" w:rsidRPr="008738BE" w:rsidRDefault="005D06D8" w:rsidP="005D06D8">
      <w:pPr>
        <w:pStyle w:val="ListParagraph"/>
        <w:rPr>
          <w:sz w:val="24"/>
          <w:szCs w:val="24"/>
          <w:lang w:eastAsia="en-GB"/>
        </w:rPr>
      </w:pPr>
    </w:p>
    <w:p w:rsidR="005D06D8" w:rsidRPr="008738BE" w:rsidRDefault="005D06D8" w:rsidP="005D06D8">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Balance Sheet (page 1</w:t>
      </w:r>
      <w:r w:rsidR="00134830">
        <w:rPr>
          <w:sz w:val="24"/>
          <w:szCs w:val="24"/>
          <w:lang w:eastAsia="en-GB"/>
        </w:rPr>
        <w:t>6</w:t>
      </w:r>
      <w:r w:rsidRPr="008738BE">
        <w:rPr>
          <w:sz w:val="24"/>
          <w:szCs w:val="24"/>
          <w:lang w:eastAsia="en-GB"/>
        </w:rPr>
        <w:t>) – This is another core financial statement. It shows the financial position or strength of the Authority at the end of the year. The overall picture of the balance sheet is strong with a positive net worth of £</w:t>
      </w:r>
      <w:r w:rsidR="00BE5CC8">
        <w:rPr>
          <w:sz w:val="24"/>
          <w:szCs w:val="24"/>
          <w:lang w:eastAsia="en-GB"/>
        </w:rPr>
        <w:t>18</w:t>
      </w:r>
      <w:r>
        <w:rPr>
          <w:sz w:val="24"/>
          <w:szCs w:val="24"/>
          <w:lang w:eastAsia="en-GB"/>
        </w:rPr>
        <w:t>.</w:t>
      </w:r>
      <w:r w:rsidR="00557FA0">
        <w:rPr>
          <w:sz w:val="24"/>
          <w:szCs w:val="24"/>
          <w:lang w:eastAsia="en-GB"/>
        </w:rPr>
        <w:t>6</w:t>
      </w:r>
      <w:r w:rsidR="00BE5CC8">
        <w:rPr>
          <w:sz w:val="24"/>
          <w:szCs w:val="24"/>
          <w:lang w:eastAsia="en-GB"/>
        </w:rPr>
        <w:t>31</w:t>
      </w:r>
      <w:r w:rsidRPr="008738BE">
        <w:rPr>
          <w:sz w:val="24"/>
          <w:szCs w:val="24"/>
          <w:lang w:eastAsia="en-GB"/>
        </w:rPr>
        <w:t xml:space="preserve"> million. Continuing the healthy trend, this means the Authority has more assets than liabilities.</w:t>
      </w:r>
      <w:r>
        <w:rPr>
          <w:sz w:val="24"/>
          <w:szCs w:val="24"/>
          <w:lang w:eastAsia="en-GB"/>
        </w:rPr>
        <w:t xml:space="preserve"> </w:t>
      </w:r>
    </w:p>
    <w:p w:rsidR="005D06D8" w:rsidRPr="008738BE" w:rsidRDefault="005D06D8" w:rsidP="005D06D8">
      <w:pPr>
        <w:pStyle w:val="ListParagraph"/>
        <w:rPr>
          <w:sz w:val="24"/>
          <w:szCs w:val="24"/>
          <w:lang w:eastAsia="en-GB"/>
        </w:rPr>
      </w:pPr>
    </w:p>
    <w:p w:rsidR="00E60FFA" w:rsidRDefault="005D06D8" w:rsidP="00E60FFA">
      <w:pPr>
        <w:pStyle w:val="ListParagraph"/>
        <w:numPr>
          <w:ilvl w:val="0"/>
          <w:numId w:val="30"/>
        </w:numPr>
        <w:autoSpaceDE w:val="0"/>
        <w:autoSpaceDN w:val="0"/>
        <w:adjustRightInd w:val="0"/>
        <w:spacing w:after="120"/>
        <w:jc w:val="both"/>
        <w:rPr>
          <w:sz w:val="24"/>
          <w:szCs w:val="24"/>
          <w:lang w:eastAsia="en-GB"/>
        </w:rPr>
      </w:pPr>
      <w:r w:rsidRPr="008738BE">
        <w:rPr>
          <w:sz w:val="24"/>
          <w:szCs w:val="24"/>
          <w:lang w:eastAsia="en-GB"/>
        </w:rPr>
        <w:t>Notes to the Core Financial Statements (page</w:t>
      </w:r>
      <w:r w:rsidR="00E60FFA">
        <w:rPr>
          <w:sz w:val="24"/>
          <w:szCs w:val="24"/>
          <w:lang w:eastAsia="en-GB"/>
        </w:rPr>
        <w:t>s</w:t>
      </w:r>
      <w:r w:rsidRPr="008738BE">
        <w:rPr>
          <w:sz w:val="24"/>
          <w:szCs w:val="24"/>
          <w:lang w:eastAsia="en-GB"/>
        </w:rPr>
        <w:t xml:space="preserve"> </w:t>
      </w:r>
      <w:r w:rsidR="00134830">
        <w:rPr>
          <w:sz w:val="24"/>
          <w:szCs w:val="24"/>
          <w:lang w:eastAsia="en-GB"/>
        </w:rPr>
        <w:t>20</w:t>
      </w:r>
      <w:r w:rsidRPr="008738BE">
        <w:rPr>
          <w:sz w:val="24"/>
          <w:szCs w:val="24"/>
          <w:lang w:eastAsia="en-GB"/>
        </w:rPr>
        <w:t xml:space="preserve"> </w:t>
      </w:r>
      <w:r w:rsidRPr="00DF5556">
        <w:rPr>
          <w:sz w:val="24"/>
          <w:szCs w:val="24"/>
          <w:lang w:eastAsia="en-GB"/>
        </w:rPr>
        <w:t>– 3</w:t>
      </w:r>
      <w:r w:rsidR="00134830">
        <w:rPr>
          <w:sz w:val="24"/>
          <w:szCs w:val="24"/>
          <w:lang w:eastAsia="en-GB"/>
        </w:rPr>
        <w:t>9</w:t>
      </w:r>
      <w:r w:rsidRPr="008738BE">
        <w:rPr>
          <w:sz w:val="24"/>
          <w:szCs w:val="24"/>
          <w:lang w:eastAsia="en-GB"/>
        </w:rPr>
        <w:t>) –</w:t>
      </w:r>
      <w:r>
        <w:rPr>
          <w:sz w:val="24"/>
          <w:szCs w:val="24"/>
          <w:lang w:eastAsia="en-GB"/>
        </w:rPr>
        <w:t xml:space="preserve"> these </w:t>
      </w:r>
      <w:r w:rsidRPr="008738BE">
        <w:rPr>
          <w:sz w:val="24"/>
          <w:szCs w:val="24"/>
          <w:lang w:eastAsia="en-GB"/>
        </w:rPr>
        <w:t xml:space="preserve">provide details, breakdown and analyses </w:t>
      </w:r>
      <w:r>
        <w:rPr>
          <w:sz w:val="24"/>
          <w:szCs w:val="24"/>
          <w:lang w:eastAsia="en-GB"/>
        </w:rPr>
        <w:t xml:space="preserve">in accordance with various disclosure requirements </w:t>
      </w:r>
      <w:r w:rsidRPr="008738BE">
        <w:rPr>
          <w:sz w:val="24"/>
          <w:szCs w:val="24"/>
          <w:lang w:eastAsia="en-GB"/>
        </w:rPr>
        <w:t>for most of the items identified in the above 2 core statements.</w:t>
      </w:r>
    </w:p>
    <w:p w:rsidR="00E60FFA" w:rsidRPr="00E60FFA" w:rsidRDefault="00E60FFA" w:rsidP="00E60FFA">
      <w:pPr>
        <w:pStyle w:val="ListParagraph"/>
        <w:rPr>
          <w:sz w:val="24"/>
          <w:szCs w:val="24"/>
          <w:lang w:eastAsia="en-GB"/>
        </w:rPr>
      </w:pPr>
    </w:p>
    <w:p w:rsidR="005D06D8" w:rsidRPr="00E60FFA" w:rsidRDefault="005D06D8" w:rsidP="00E60FFA">
      <w:pPr>
        <w:pStyle w:val="ListParagraph"/>
        <w:numPr>
          <w:ilvl w:val="0"/>
          <w:numId w:val="30"/>
        </w:numPr>
        <w:autoSpaceDE w:val="0"/>
        <w:autoSpaceDN w:val="0"/>
        <w:adjustRightInd w:val="0"/>
        <w:spacing w:after="120"/>
        <w:jc w:val="both"/>
        <w:rPr>
          <w:sz w:val="24"/>
          <w:szCs w:val="24"/>
          <w:lang w:eastAsia="en-GB"/>
        </w:rPr>
      </w:pPr>
      <w:r w:rsidRPr="00E60FFA">
        <w:rPr>
          <w:sz w:val="24"/>
          <w:szCs w:val="24"/>
          <w:lang w:eastAsia="en-GB"/>
        </w:rPr>
        <w:t xml:space="preserve">Annual Governance Statement (page </w:t>
      </w:r>
      <w:r w:rsidR="00134830">
        <w:rPr>
          <w:sz w:val="24"/>
          <w:szCs w:val="24"/>
          <w:lang w:eastAsia="en-GB"/>
        </w:rPr>
        <w:t>40</w:t>
      </w:r>
      <w:r w:rsidRPr="00E60FFA">
        <w:rPr>
          <w:sz w:val="24"/>
          <w:szCs w:val="24"/>
          <w:lang w:eastAsia="en-GB"/>
        </w:rPr>
        <w:t xml:space="preserve">) – This is a key statement within the Accounts that outlines the Authority’s view of the effectiveness of its governance and internal control framework. The statement identifies the Authority’s duties and lists the </w:t>
      </w:r>
      <w:r w:rsidR="00E60FFA" w:rsidRPr="00E60FFA">
        <w:rPr>
          <w:sz w:val="24"/>
          <w:szCs w:val="24"/>
          <w:lang w:eastAsia="en-GB"/>
        </w:rPr>
        <w:t xml:space="preserve">main </w:t>
      </w:r>
      <w:r w:rsidRPr="00E60FFA">
        <w:rPr>
          <w:sz w:val="24"/>
          <w:szCs w:val="24"/>
          <w:lang w:eastAsia="en-GB"/>
        </w:rPr>
        <w:t xml:space="preserve">elements of the corporate governance framework </w:t>
      </w:r>
      <w:r w:rsidR="00E60FFA">
        <w:rPr>
          <w:sz w:val="24"/>
          <w:szCs w:val="24"/>
          <w:lang w:eastAsia="en-GB"/>
        </w:rPr>
        <w:t xml:space="preserve">most of which are </w:t>
      </w:r>
      <w:r w:rsidRPr="00E60FFA">
        <w:rPr>
          <w:sz w:val="24"/>
          <w:szCs w:val="24"/>
          <w:lang w:eastAsia="en-GB"/>
        </w:rPr>
        <w:t>reported to Authority meetings during the year.</w:t>
      </w:r>
      <w:r w:rsidRPr="00E60FFA">
        <w:rPr>
          <w:sz w:val="24"/>
          <w:szCs w:val="24"/>
          <w:highlight w:val="yellow"/>
          <w:lang w:eastAsia="en-GB"/>
        </w:rPr>
        <w:t xml:space="preserve"> </w:t>
      </w:r>
    </w:p>
    <w:p w:rsidR="005D06D8" w:rsidRPr="005D06D8" w:rsidRDefault="005D06D8" w:rsidP="005D06D8">
      <w:pPr>
        <w:pStyle w:val="ListParagraph"/>
        <w:rPr>
          <w:sz w:val="24"/>
          <w:szCs w:val="24"/>
          <w:lang w:eastAsia="en-GB"/>
        </w:rPr>
      </w:pPr>
    </w:p>
    <w:p w:rsidR="00836A54" w:rsidRPr="005D06D8" w:rsidRDefault="005D06D8" w:rsidP="005D06D8">
      <w:pPr>
        <w:pStyle w:val="ListParagraph"/>
        <w:numPr>
          <w:ilvl w:val="0"/>
          <w:numId w:val="30"/>
        </w:numPr>
        <w:autoSpaceDE w:val="0"/>
        <w:autoSpaceDN w:val="0"/>
        <w:adjustRightInd w:val="0"/>
        <w:spacing w:after="120"/>
        <w:jc w:val="both"/>
        <w:rPr>
          <w:sz w:val="24"/>
          <w:szCs w:val="24"/>
          <w:lang w:val="en-US"/>
        </w:rPr>
      </w:pPr>
      <w:r w:rsidRPr="005D06D8">
        <w:rPr>
          <w:sz w:val="24"/>
          <w:szCs w:val="24"/>
          <w:lang w:eastAsia="en-GB"/>
        </w:rPr>
        <w:t>Independent Auditors Report (page 4</w:t>
      </w:r>
      <w:r w:rsidR="00134830">
        <w:rPr>
          <w:sz w:val="24"/>
          <w:szCs w:val="24"/>
          <w:lang w:eastAsia="en-GB"/>
        </w:rPr>
        <w:t>3</w:t>
      </w:r>
      <w:r w:rsidRPr="005D06D8">
        <w:rPr>
          <w:sz w:val="24"/>
          <w:szCs w:val="24"/>
          <w:lang w:eastAsia="en-GB"/>
        </w:rPr>
        <w:t>) – This confirms the accounts present a true and fair view of the Authority’s finances and the will be signed by our external auditors following the meeting.</w:t>
      </w:r>
      <w:r w:rsidR="00836A54" w:rsidRPr="005D06D8">
        <w:rPr>
          <w:sz w:val="24"/>
          <w:szCs w:val="24"/>
          <w:lang w:eastAsia="en-GB"/>
        </w:rPr>
        <w:t xml:space="preserve"> </w:t>
      </w:r>
    </w:p>
    <w:p w:rsidR="00C6622F" w:rsidRDefault="00C6622F" w:rsidP="00BC1677">
      <w:pPr>
        <w:ind w:left="170"/>
        <w:jc w:val="both"/>
        <w:rPr>
          <w:rFonts w:ascii="Arial" w:hAnsi="Arial" w:cs="Arial"/>
          <w:szCs w:val="24"/>
          <w:lang w:val="en-US"/>
        </w:rPr>
      </w:pPr>
    </w:p>
    <w:p w:rsidR="00042D9A" w:rsidRPr="00042D9A" w:rsidRDefault="00C2799A" w:rsidP="00BC1677">
      <w:pPr>
        <w:autoSpaceDE w:val="0"/>
        <w:autoSpaceDN w:val="0"/>
        <w:adjustRightInd w:val="0"/>
        <w:spacing w:after="120"/>
        <w:jc w:val="both"/>
        <w:rPr>
          <w:rFonts w:ascii="Arial" w:hAnsi="Arial" w:cs="Arial"/>
          <w:b/>
          <w:szCs w:val="24"/>
          <w:lang w:eastAsia="en-GB"/>
        </w:rPr>
      </w:pPr>
      <w:r w:rsidRPr="00042D9A">
        <w:rPr>
          <w:rFonts w:ascii="Arial" w:hAnsi="Arial" w:cs="Arial"/>
          <w:b/>
          <w:szCs w:val="24"/>
          <w:lang w:eastAsia="en-GB"/>
        </w:rPr>
        <w:t>201</w:t>
      </w:r>
      <w:r w:rsidR="00252AE3">
        <w:rPr>
          <w:rFonts w:ascii="Arial" w:hAnsi="Arial" w:cs="Arial"/>
          <w:b/>
          <w:szCs w:val="24"/>
          <w:lang w:eastAsia="en-GB"/>
        </w:rPr>
        <w:t>8</w:t>
      </w:r>
      <w:r w:rsidR="005C70BE">
        <w:rPr>
          <w:rFonts w:ascii="Arial" w:hAnsi="Arial" w:cs="Arial"/>
          <w:b/>
          <w:szCs w:val="24"/>
          <w:lang w:eastAsia="en-GB"/>
        </w:rPr>
        <w:t>/</w:t>
      </w:r>
      <w:r w:rsidRPr="00042D9A">
        <w:rPr>
          <w:rFonts w:ascii="Arial" w:hAnsi="Arial" w:cs="Arial"/>
          <w:b/>
          <w:szCs w:val="24"/>
          <w:lang w:eastAsia="en-GB"/>
        </w:rPr>
        <w:t>1</w:t>
      </w:r>
      <w:r w:rsidR="00252AE3">
        <w:rPr>
          <w:rFonts w:ascii="Arial" w:hAnsi="Arial" w:cs="Arial"/>
          <w:b/>
          <w:szCs w:val="24"/>
          <w:lang w:eastAsia="en-GB"/>
        </w:rPr>
        <w:t>9</w:t>
      </w:r>
      <w:r w:rsidR="00897FD1">
        <w:rPr>
          <w:rFonts w:ascii="Arial" w:hAnsi="Arial" w:cs="Arial"/>
          <w:b/>
          <w:szCs w:val="24"/>
          <w:lang w:eastAsia="en-GB"/>
        </w:rPr>
        <w:t xml:space="preserve"> O</w:t>
      </w:r>
      <w:r w:rsidR="005D06D8">
        <w:rPr>
          <w:rFonts w:ascii="Arial" w:hAnsi="Arial" w:cs="Arial"/>
          <w:b/>
          <w:szCs w:val="24"/>
          <w:lang w:eastAsia="en-GB"/>
        </w:rPr>
        <w:t>ut-turn</w:t>
      </w:r>
    </w:p>
    <w:p w:rsidR="00C6622F" w:rsidRPr="00552CEB" w:rsidRDefault="00552CEB" w:rsidP="00552CEB">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The</w:t>
      </w:r>
      <w:r w:rsidR="002E5D16" w:rsidRPr="00552CEB">
        <w:rPr>
          <w:sz w:val="24"/>
          <w:szCs w:val="24"/>
          <w:lang w:eastAsia="en-GB"/>
        </w:rPr>
        <w:t xml:space="preserve"> </w:t>
      </w:r>
      <w:r w:rsidR="00C2799A" w:rsidRPr="00552CEB">
        <w:rPr>
          <w:sz w:val="24"/>
          <w:szCs w:val="24"/>
          <w:lang w:eastAsia="en-GB"/>
        </w:rPr>
        <w:t xml:space="preserve">financial </w:t>
      </w:r>
      <w:r w:rsidR="002E5D16" w:rsidRPr="00552CEB">
        <w:rPr>
          <w:sz w:val="24"/>
          <w:szCs w:val="24"/>
          <w:lang w:eastAsia="en-GB"/>
        </w:rPr>
        <w:t xml:space="preserve">performance </w:t>
      </w:r>
      <w:r w:rsidR="00623D61">
        <w:rPr>
          <w:sz w:val="24"/>
          <w:szCs w:val="24"/>
          <w:lang w:eastAsia="en-GB"/>
        </w:rPr>
        <w:t xml:space="preserve">for the year </w:t>
      </w:r>
      <w:r w:rsidR="002E5D16" w:rsidRPr="00552CEB">
        <w:rPr>
          <w:sz w:val="24"/>
          <w:szCs w:val="24"/>
          <w:lang w:eastAsia="en-GB"/>
        </w:rPr>
        <w:t xml:space="preserve">is provided </w:t>
      </w:r>
      <w:r w:rsidR="00C2799A" w:rsidRPr="00552CEB">
        <w:rPr>
          <w:sz w:val="24"/>
          <w:szCs w:val="24"/>
          <w:lang w:eastAsia="en-GB"/>
        </w:rPr>
        <w:t xml:space="preserve">in the table </w:t>
      </w:r>
      <w:r w:rsidR="00252AE3">
        <w:rPr>
          <w:sz w:val="24"/>
          <w:szCs w:val="24"/>
          <w:lang w:eastAsia="en-GB"/>
        </w:rPr>
        <w:t>below</w:t>
      </w:r>
      <w:r w:rsidR="00275C91" w:rsidRPr="00552CEB">
        <w:rPr>
          <w:sz w:val="24"/>
          <w:szCs w:val="24"/>
          <w:lang w:eastAsia="en-GB"/>
        </w:rPr>
        <w:t xml:space="preserve"> and compares the actual performance to the budgeted level in the usual </w:t>
      </w:r>
      <w:r w:rsidR="00134830">
        <w:rPr>
          <w:sz w:val="24"/>
          <w:szCs w:val="24"/>
          <w:lang w:eastAsia="en-GB"/>
        </w:rPr>
        <w:t xml:space="preserve">budget monitoring </w:t>
      </w:r>
      <w:r w:rsidR="00275C91" w:rsidRPr="00552CEB">
        <w:rPr>
          <w:sz w:val="24"/>
          <w:szCs w:val="24"/>
          <w:lang w:eastAsia="en-GB"/>
        </w:rPr>
        <w:t>format</w:t>
      </w:r>
      <w:r w:rsidR="00134830">
        <w:rPr>
          <w:sz w:val="24"/>
          <w:szCs w:val="24"/>
          <w:lang w:eastAsia="en-GB"/>
        </w:rPr>
        <w:t xml:space="preserve"> which groups spends in an operational way</w:t>
      </w:r>
      <w:r w:rsidR="00C2799A" w:rsidRPr="00552CEB">
        <w:rPr>
          <w:sz w:val="24"/>
          <w:szCs w:val="24"/>
          <w:lang w:eastAsia="en-GB"/>
        </w:rPr>
        <w:t>.</w:t>
      </w:r>
      <w:r w:rsidR="002E5D16" w:rsidRPr="00552CEB">
        <w:rPr>
          <w:sz w:val="24"/>
          <w:szCs w:val="24"/>
          <w:lang w:eastAsia="en-GB"/>
        </w:rPr>
        <w:t xml:space="preserve"> </w:t>
      </w:r>
    </w:p>
    <w:p w:rsidR="00252AE3" w:rsidRDefault="00252AE3">
      <w:pPr>
        <w:rPr>
          <w:rFonts w:ascii="Arial" w:hAnsi="Arial" w:cs="Arial"/>
          <w:szCs w:val="24"/>
          <w:lang w:eastAsia="en-GB"/>
        </w:rPr>
      </w:pPr>
    </w:p>
    <w:tbl>
      <w:tblPr>
        <w:tblW w:w="0" w:type="auto"/>
        <w:tblInd w:w="959" w:type="dxa"/>
        <w:tblLook w:val="04A0" w:firstRow="1" w:lastRow="0" w:firstColumn="1" w:lastColumn="0" w:noHBand="0" w:noVBand="1"/>
      </w:tblPr>
      <w:tblGrid>
        <w:gridCol w:w="4678"/>
        <w:gridCol w:w="1559"/>
        <w:gridCol w:w="1559"/>
        <w:gridCol w:w="1418"/>
      </w:tblGrid>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Financial Performance 201</w:t>
            </w:r>
            <w:r>
              <w:rPr>
                <w:rFonts w:ascii="Arial" w:hAnsi="Arial" w:cs="Arial"/>
                <w:b/>
                <w:szCs w:val="24"/>
                <w:lang w:eastAsia="en-GB"/>
              </w:rPr>
              <w:t>8</w:t>
            </w:r>
            <w:r w:rsidRPr="00605186">
              <w:rPr>
                <w:rFonts w:ascii="Arial" w:hAnsi="Arial" w:cs="Arial"/>
                <w:b/>
                <w:szCs w:val="24"/>
                <w:lang w:eastAsia="en-GB"/>
              </w:rPr>
              <w:t>/1</w:t>
            </w:r>
            <w:r>
              <w:rPr>
                <w:rFonts w:ascii="Arial" w:hAnsi="Arial" w:cs="Arial"/>
                <w:b/>
                <w:szCs w:val="24"/>
                <w:lang w:eastAsia="en-GB"/>
              </w:rPr>
              <w:t>9</w:t>
            </w:r>
          </w:p>
        </w:tc>
        <w:tc>
          <w:tcPr>
            <w:tcW w:w="1559" w:type="dxa"/>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Budget £000s</w:t>
            </w:r>
          </w:p>
        </w:tc>
        <w:tc>
          <w:tcPr>
            <w:tcW w:w="1559" w:type="dxa"/>
          </w:tcPr>
          <w:p w:rsidR="00252AE3" w:rsidRPr="00605186" w:rsidRDefault="00252AE3" w:rsidP="00916ACB">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Actual   £000s</w:t>
            </w:r>
          </w:p>
        </w:tc>
        <w:tc>
          <w:tcPr>
            <w:tcW w:w="1418" w:type="dxa"/>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Variance £000s</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Expenditure</w:t>
            </w:r>
          </w:p>
        </w:tc>
        <w:tc>
          <w:tcPr>
            <w:tcW w:w="1559"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c>
          <w:tcPr>
            <w:tcW w:w="1559" w:type="dxa"/>
          </w:tcPr>
          <w:p w:rsidR="00252AE3" w:rsidRPr="00605186" w:rsidRDefault="00252AE3" w:rsidP="00916ACB">
            <w:pPr>
              <w:autoSpaceDE w:val="0"/>
              <w:autoSpaceDN w:val="0"/>
              <w:adjustRightInd w:val="0"/>
              <w:spacing w:after="120"/>
              <w:jc w:val="right"/>
              <w:rPr>
                <w:rFonts w:ascii="Arial" w:hAnsi="Arial" w:cs="Arial"/>
                <w:b/>
                <w:szCs w:val="24"/>
                <w:lang w:eastAsia="en-GB"/>
              </w:rPr>
            </w:pPr>
          </w:p>
        </w:tc>
        <w:tc>
          <w:tcPr>
            <w:tcW w:w="1418"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Employees</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1,</w:t>
            </w:r>
            <w:r>
              <w:rPr>
                <w:rFonts w:ascii="Arial" w:hAnsi="Arial" w:cs="Arial"/>
                <w:szCs w:val="24"/>
                <w:lang w:eastAsia="en-GB"/>
              </w:rPr>
              <w:t>923</w:t>
            </w:r>
          </w:p>
        </w:tc>
        <w:tc>
          <w:tcPr>
            <w:tcW w:w="1559" w:type="dxa"/>
          </w:tcPr>
          <w:p w:rsidR="00252AE3" w:rsidRPr="00605186"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2,138</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215</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Premises</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2,571</w:t>
            </w:r>
          </w:p>
        </w:tc>
        <w:tc>
          <w:tcPr>
            <w:tcW w:w="1559" w:type="dxa"/>
          </w:tcPr>
          <w:p w:rsidR="00252AE3" w:rsidRPr="00605186"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3,647</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1,076</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Waste, Transport and Disposal</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45,422</w:t>
            </w:r>
          </w:p>
        </w:tc>
        <w:tc>
          <w:tcPr>
            <w:tcW w:w="1559" w:type="dxa"/>
          </w:tcPr>
          <w:p w:rsidR="00252AE3" w:rsidRPr="00605186"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42,443</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-2,979</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Other supplies</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977</w:t>
            </w:r>
          </w:p>
        </w:tc>
        <w:tc>
          <w:tcPr>
            <w:tcW w:w="1559" w:type="dxa"/>
          </w:tcPr>
          <w:p w:rsidR="00252AE3" w:rsidRPr="00605186" w:rsidRDefault="00B12A6A"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970</w:t>
            </w:r>
          </w:p>
        </w:tc>
        <w:tc>
          <w:tcPr>
            <w:tcW w:w="1418" w:type="dxa"/>
          </w:tcPr>
          <w:p w:rsidR="00252AE3" w:rsidRPr="00142054" w:rsidRDefault="00B12A6A"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-7</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Depreciation</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8,600</w:t>
            </w:r>
          </w:p>
        </w:tc>
        <w:tc>
          <w:tcPr>
            <w:tcW w:w="1559" w:type="dxa"/>
          </w:tcPr>
          <w:p w:rsidR="00252AE3" w:rsidRPr="00605186"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8,33</w:t>
            </w:r>
            <w:r w:rsidR="001D7D99">
              <w:rPr>
                <w:rFonts w:ascii="Arial" w:hAnsi="Arial" w:cs="Arial"/>
                <w:szCs w:val="24"/>
                <w:lang w:eastAsia="en-GB"/>
              </w:rPr>
              <w:t>7</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-26</w:t>
            </w:r>
            <w:r w:rsidR="001D7D99">
              <w:rPr>
                <w:rFonts w:ascii="Arial" w:hAnsi="Arial" w:cs="Arial"/>
                <w:szCs w:val="24"/>
                <w:lang w:eastAsia="en-GB"/>
              </w:rPr>
              <w:t>3</w:t>
            </w:r>
          </w:p>
        </w:tc>
      </w:tr>
      <w:tr w:rsidR="00252AE3" w:rsidRPr="005F5A17" w:rsidTr="00916ACB">
        <w:tc>
          <w:tcPr>
            <w:tcW w:w="4678" w:type="dxa"/>
          </w:tcPr>
          <w:p w:rsidR="00252AE3"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Financing</w:t>
            </w:r>
          </w:p>
        </w:tc>
        <w:tc>
          <w:tcPr>
            <w:tcW w:w="1559" w:type="dxa"/>
          </w:tcPr>
          <w:p w:rsidR="00252AE3"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6,250</w:t>
            </w:r>
          </w:p>
        </w:tc>
        <w:tc>
          <w:tcPr>
            <w:tcW w:w="1559" w:type="dxa"/>
          </w:tcPr>
          <w:p w:rsidR="00252AE3"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5,293</w:t>
            </w:r>
          </w:p>
        </w:tc>
        <w:tc>
          <w:tcPr>
            <w:tcW w:w="1418" w:type="dxa"/>
          </w:tcPr>
          <w:p w:rsidR="00252AE3"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-957</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Concession adjustment</w:t>
            </w:r>
          </w:p>
        </w:tc>
        <w:tc>
          <w:tcPr>
            <w:tcW w:w="1559" w:type="dxa"/>
            <w:tcBorders>
              <w:bottom w:val="single" w:sz="4" w:space="0" w:color="auto"/>
            </w:tcBorders>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-4,065</w:t>
            </w:r>
          </w:p>
        </w:tc>
        <w:tc>
          <w:tcPr>
            <w:tcW w:w="1559" w:type="dxa"/>
            <w:tcBorders>
              <w:bottom w:val="single" w:sz="4" w:space="0" w:color="auto"/>
            </w:tcBorders>
          </w:tcPr>
          <w:p w:rsidR="00252AE3" w:rsidRPr="00605186"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-4,134</w:t>
            </w:r>
          </w:p>
        </w:tc>
        <w:tc>
          <w:tcPr>
            <w:tcW w:w="1418" w:type="dxa"/>
            <w:tcBorders>
              <w:bottom w:val="single" w:sz="4" w:space="0" w:color="auto"/>
            </w:tcBorders>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-69</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61</w:t>
            </w:r>
            <w:r>
              <w:rPr>
                <w:rFonts w:ascii="Arial" w:hAnsi="Arial" w:cs="Arial"/>
                <w:b/>
                <w:szCs w:val="24"/>
                <w:lang w:eastAsia="en-GB"/>
              </w:rPr>
              <w:t>,678</w:t>
            </w:r>
          </w:p>
        </w:tc>
        <w:tc>
          <w:tcPr>
            <w:tcW w:w="1559" w:type="dxa"/>
            <w:tcBorders>
              <w:top w:val="single" w:sz="4" w:space="0" w:color="auto"/>
            </w:tcBorders>
          </w:tcPr>
          <w:p w:rsidR="00252AE3" w:rsidRPr="00605186" w:rsidRDefault="00252AE3" w:rsidP="001D7D99">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58,</w:t>
            </w:r>
            <w:r w:rsidR="00B12A6A">
              <w:rPr>
                <w:rFonts w:ascii="Arial" w:hAnsi="Arial" w:cs="Arial"/>
                <w:b/>
                <w:szCs w:val="24"/>
                <w:lang w:eastAsia="en-GB"/>
              </w:rPr>
              <w:t>69</w:t>
            </w:r>
            <w:r w:rsidR="001D7D99">
              <w:rPr>
                <w:rFonts w:ascii="Arial" w:hAnsi="Arial" w:cs="Arial"/>
                <w:b/>
                <w:szCs w:val="24"/>
                <w:lang w:eastAsia="en-GB"/>
              </w:rPr>
              <w:t>4</w:t>
            </w:r>
          </w:p>
        </w:tc>
        <w:tc>
          <w:tcPr>
            <w:tcW w:w="1418" w:type="dxa"/>
            <w:tcBorders>
              <w:top w:val="single" w:sz="4" w:space="0" w:color="auto"/>
            </w:tcBorders>
          </w:tcPr>
          <w:p w:rsidR="00252AE3" w:rsidRPr="00142054" w:rsidRDefault="00252AE3" w:rsidP="001D7D99">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w:t>
            </w:r>
            <w:r w:rsidR="00B12A6A">
              <w:rPr>
                <w:rFonts w:ascii="Arial" w:hAnsi="Arial" w:cs="Arial"/>
                <w:b/>
                <w:szCs w:val="24"/>
                <w:lang w:eastAsia="en-GB"/>
              </w:rPr>
              <w:t>2,98</w:t>
            </w:r>
            <w:r w:rsidR="001D7D99">
              <w:rPr>
                <w:rFonts w:ascii="Arial" w:hAnsi="Arial" w:cs="Arial"/>
                <w:b/>
                <w:szCs w:val="24"/>
                <w:lang w:eastAsia="en-GB"/>
              </w:rPr>
              <w:t>4</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lastRenderedPageBreak/>
              <w:t>Income</w:t>
            </w:r>
          </w:p>
        </w:tc>
        <w:tc>
          <w:tcPr>
            <w:tcW w:w="1559"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c>
          <w:tcPr>
            <w:tcW w:w="1559" w:type="dxa"/>
          </w:tcPr>
          <w:p w:rsidR="00252AE3" w:rsidRPr="00605186" w:rsidRDefault="00252AE3" w:rsidP="00916ACB">
            <w:pPr>
              <w:autoSpaceDE w:val="0"/>
              <w:autoSpaceDN w:val="0"/>
              <w:adjustRightInd w:val="0"/>
              <w:spacing w:after="120"/>
              <w:jc w:val="right"/>
              <w:rPr>
                <w:rFonts w:ascii="Arial" w:hAnsi="Arial" w:cs="Arial"/>
                <w:b/>
                <w:szCs w:val="24"/>
                <w:lang w:eastAsia="en-GB"/>
              </w:rPr>
            </w:pPr>
          </w:p>
        </w:tc>
        <w:tc>
          <w:tcPr>
            <w:tcW w:w="1418" w:type="dxa"/>
          </w:tcPr>
          <w:p w:rsidR="00252AE3" w:rsidRPr="00142054" w:rsidRDefault="00252AE3" w:rsidP="00916ACB">
            <w:pPr>
              <w:autoSpaceDE w:val="0"/>
              <w:autoSpaceDN w:val="0"/>
              <w:adjustRightInd w:val="0"/>
              <w:spacing w:after="120"/>
              <w:jc w:val="right"/>
              <w:rPr>
                <w:rFonts w:ascii="Arial" w:hAnsi="Arial" w:cs="Arial"/>
                <w:b/>
                <w:szCs w:val="24"/>
                <w:lang w:eastAsia="en-GB"/>
              </w:rPr>
            </w:pP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Levies</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w:t>
            </w:r>
            <w:r>
              <w:rPr>
                <w:rFonts w:ascii="Arial" w:hAnsi="Arial" w:cs="Arial"/>
                <w:szCs w:val="24"/>
                <w:lang w:eastAsia="en-GB"/>
              </w:rPr>
              <w:t>59,850</w:t>
            </w:r>
          </w:p>
        </w:tc>
        <w:tc>
          <w:tcPr>
            <w:tcW w:w="1559" w:type="dxa"/>
          </w:tcPr>
          <w:p w:rsidR="00252AE3" w:rsidRPr="00605186" w:rsidRDefault="00252AE3" w:rsidP="00916ACB">
            <w:pPr>
              <w:autoSpaceDE w:val="0"/>
              <w:autoSpaceDN w:val="0"/>
              <w:adjustRightInd w:val="0"/>
              <w:spacing w:after="120"/>
              <w:jc w:val="right"/>
              <w:rPr>
                <w:rFonts w:ascii="Arial" w:hAnsi="Arial" w:cs="Arial"/>
                <w:szCs w:val="24"/>
                <w:lang w:eastAsia="en-GB"/>
              </w:rPr>
            </w:pPr>
            <w:r w:rsidRPr="00605186">
              <w:rPr>
                <w:rFonts w:ascii="Arial" w:hAnsi="Arial" w:cs="Arial"/>
                <w:szCs w:val="24"/>
                <w:lang w:eastAsia="en-GB"/>
              </w:rPr>
              <w:t>-5</w:t>
            </w:r>
            <w:r>
              <w:rPr>
                <w:rFonts w:ascii="Arial" w:hAnsi="Arial" w:cs="Arial"/>
                <w:szCs w:val="24"/>
                <w:lang w:eastAsia="en-GB"/>
              </w:rPr>
              <w:t>9,166</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684</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Trade</w:t>
            </w:r>
            <w:r>
              <w:rPr>
                <w:rFonts w:ascii="Arial" w:hAnsi="Arial" w:cs="Arial"/>
                <w:szCs w:val="24"/>
                <w:lang w:eastAsia="en-GB"/>
              </w:rPr>
              <w:t xml:space="preserve"> and other</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-1,</w:t>
            </w:r>
            <w:r>
              <w:rPr>
                <w:rFonts w:ascii="Arial" w:hAnsi="Arial" w:cs="Arial"/>
                <w:szCs w:val="24"/>
                <w:lang w:eastAsia="en-GB"/>
              </w:rPr>
              <w:t>828</w:t>
            </w:r>
          </w:p>
        </w:tc>
        <w:tc>
          <w:tcPr>
            <w:tcW w:w="1559" w:type="dxa"/>
          </w:tcPr>
          <w:p w:rsidR="00252AE3" w:rsidRPr="00605186" w:rsidRDefault="00252AE3" w:rsidP="001D7D99">
            <w:pPr>
              <w:autoSpaceDE w:val="0"/>
              <w:autoSpaceDN w:val="0"/>
              <w:adjustRightInd w:val="0"/>
              <w:spacing w:after="120"/>
              <w:jc w:val="right"/>
              <w:rPr>
                <w:rFonts w:ascii="Arial" w:hAnsi="Arial" w:cs="Arial"/>
                <w:szCs w:val="24"/>
                <w:lang w:eastAsia="en-GB"/>
              </w:rPr>
            </w:pPr>
            <w:r w:rsidRPr="00605186">
              <w:rPr>
                <w:rFonts w:ascii="Arial" w:hAnsi="Arial" w:cs="Arial"/>
                <w:szCs w:val="24"/>
                <w:lang w:eastAsia="en-GB"/>
              </w:rPr>
              <w:t>-</w:t>
            </w:r>
            <w:r>
              <w:rPr>
                <w:rFonts w:ascii="Arial" w:hAnsi="Arial" w:cs="Arial"/>
                <w:szCs w:val="24"/>
                <w:lang w:eastAsia="en-GB"/>
              </w:rPr>
              <w:t>2,40</w:t>
            </w:r>
            <w:r w:rsidR="001D7D99">
              <w:rPr>
                <w:rFonts w:ascii="Arial" w:hAnsi="Arial" w:cs="Arial"/>
                <w:szCs w:val="24"/>
                <w:lang w:eastAsia="en-GB"/>
              </w:rPr>
              <w:t>1</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-57</w:t>
            </w:r>
            <w:r w:rsidR="001D7D99">
              <w:rPr>
                <w:rFonts w:ascii="Arial" w:hAnsi="Arial" w:cs="Arial"/>
                <w:szCs w:val="24"/>
                <w:lang w:eastAsia="en-GB"/>
              </w:rPr>
              <w:t>3</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w:t>
            </w:r>
            <w:r>
              <w:rPr>
                <w:rFonts w:ascii="Arial" w:hAnsi="Arial" w:cs="Arial"/>
                <w:b/>
                <w:szCs w:val="24"/>
                <w:lang w:eastAsia="en-GB"/>
              </w:rPr>
              <w:t>61,678</w:t>
            </w:r>
          </w:p>
        </w:tc>
        <w:tc>
          <w:tcPr>
            <w:tcW w:w="1559" w:type="dxa"/>
            <w:tcBorders>
              <w:top w:val="single" w:sz="4" w:space="0" w:color="auto"/>
            </w:tcBorders>
          </w:tcPr>
          <w:p w:rsidR="00252AE3" w:rsidRPr="00605186" w:rsidRDefault="00252AE3" w:rsidP="00916ACB">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w:t>
            </w:r>
            <w:r>
              <w:rPr>
                <w:rFonts w:ascii="Arial" w:hAnsi="Arial" w:cs="Arial"/>
                <w:b/>
                <w:szCs w:val="24"/>
                <w:lang w:eastAsia="en-GB"/>
              </w:rPr>
              <w:t>61,56</w:t>
            </w:r>
            <w:r w:rsidR="001D7D99">
              <w:rPr>
                <w:rFonts w:ascii="Arial" w:hAnsi="Arial" w:cs="Arial"/>
                <w:b/>
                <w:szCs w:val="24"/>
                <w:lang w:eastAsia="en-GB"/>
              </w:rPr>
              <w:t>7</w:t>
            </w:r>
          </w:p>
        </w:tc>
        <w:tc>
          <w:tcPr>
            <w:tcW w:w="1418" w:type="dxa"/>
            <w:tcBorders>
              <w:top w:val="single" w:sz="4" w:space="0" w:color="auto"/>
            </w:tcBorders>
          </w:tcPr>
          <w:p w:rsidR="00252AE3" w:rsidRPr="00142054" w:rsidRDefault="00252AE3" w:rsidP="001D7D99">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11</w:t>
            </w:r>
            <w:r w:rsidR="001D7D99">
              <w:rPr>
                <w:rFonts w:ascii="Arial" w:hAnsi="Arial" w:cs="Arial"/>
                <w:b/>
                <w:szCs w:val="24"/>
                <w:lang w:eastAsia="en-GB"/>
              </w:rPr>
              <w:t>1</w:t>
            </w:r>
          </w:p>
        </w:tc>
      </w:tr>
      <w:tr w:rsidR="00252AE3" w:rsidRPr="00605186" w:rsidTr="00916ACB">
        <w:tc>
          <w:tcPr>
            <w:tcW w:w="4678" w:type="dxa"/>
          </w:tcPr>
          <w:p w:rsidR="00252AE3" w:rsidRDefault="00252AE3" w:rsidP="00916ACB">
            <w:pPr>
              <w:autoSpaceDE w:val="0"/>
              <w:autoSpaceDN w:val="0"/>
              <w:adjustRightInd w:val="0"/>
              <w:spacing w:after="120"/>
              <w:rPr>
                <w:rFonts w:ascii="Arial" w:hAnsi="Arial" w:cs="Arial"/>
                <w:szCs w:val="24"/>
                <w:lang w:eastAsia="en-GB"/>
              </w:rPr>
            </w:pPr>
          </w:p>
        </w:tc>
        <w:tc>
          <w:tcPr>
            <w:tcW w:w="1559" w:type="dxa"/>
          </w:tcPr>
          <w:p w:rsidR="00252AE3" w:rsidRDefault="00252AE3" w:rsidP="00916ACB">
            <w:pPr>
              <w:autoSpaceDE w:val="0"/>
              <w:autoSpaceDN w:val="0"/>
              <w:adjustRightInd w:val="0"/>
              <w:spacing w:after="120"/>
              <w:jc w:val="right"/>
              <w:rPr>
                <w:rFonts w:ascii="Arial" w:hAnsi="Arial" w:cs="Arial"/>
                <w:szCs w:val="24"/>
                <w:lang w:eastAsia="en-GB"/>
              </w:rPr>
            </w:pPr>
          </w:p>
        </w:tc>
        <w:tc>
          <w:tcPr>
            <w:tcW w:w="1559" w:type="dxa"/>
          </w:tcPr>
          <w:p w:rsidR="00252AE3" w:rsidRDefault="00252AE3" w:rsidP="00916ACB">
            <w:pPr>
              <w:autoSpaceDE w:val="0"/>
              <w:autoSpaceDN w:val="0"/>
              <w:adjustRightInd w:val="0"/>
              <w:spacing w:after="120"/>
              <w:jc w:val="right"/>
              <w:rPr>
                <w:rFonts w:ascii="Arial" w:hAnsi="Arial" w:cs="Arial"/>
                <w:szCs w:val="24"/>
                <w:lang w:eastAsia="en-GB"/>
              </w:rPr>
            </w:pPr>
          </w:p>
        </w:tc>
        <w:tc>
          <w:tcPr>
            <w:tcW w:w="1418" w:type="dxa"/>
          </w:tcPr>
          <w:p w:rsidR="00252AE3" w:rsidRDefault="00252AE3" w:rsidP="00916ACB">
            <w:pPr>
              <w:autoSpaceDE w:val="0"/>
              <w:autoSpaceDN w:val="0"/>
              <w:adjustRightInd w:val="0"/>
              <w:spacing w:after="120"/>
              <w:jc w:val="right"/>
              <w:rPr>
                <w:rFonts w:ascii="Arial" w:hAnsi="Arial" w:cs="Arial"/>
                <w:szCs w:val="24"/>
                <w:lang w:eastAsia="en-GB"/>
              </w:rPr>
            </w:pPr>
          </w:p>
        </w:tc>
      </w:tr>
      <w:tr w:rsidR="00252AE3" w:rsidRPr="00E93B66"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Surplus on provision of services</w:t>
            </w:r>
          </w:p>
        </w:tc>
        <w:tc>
          <w:tcPr>
            <w:tcW w:w="1559" w:type="dxa"/>
            <w:tcBorders>
              <w:top w:val="single" w:sz="4" w:space="0" w:color="auto"/>
              <w:bottom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0</w:t>
            </w:r>
          </w:p>
        </w:tc>
        <w:tc>
          <w:tcPr>
            <w:tcW w:w="1559" w:type="dxa"/>
            <w:tcBorders>
              <w:top w:val="single" w:sz="4" w:space="0" w:color="auto"/>
              <w:bottom w:val="single" w:sz="4" w:space="0" w:color="auto"/>
            </w:tcBorders>
          </w:tcPr>
          <w:p w:rsidR="00252AE3" w:rsidRPr="00605186" w:rsidRDefault="00252AE3" w:rsidP="00916ACB">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w:t>
            </w:r>
            <w:r w:rsidR="00B12A6A">
              <w:rPr>
                <w:rFonts w:ascii="Arial" w:hAnsi="Arial" w:cs="Arial"/>
                <w:b/>
                <w:szCs w:val="24"/>
                <w:lang w:eastAsia="en-GB"/>
              </w:rPr>
              <w:t>2,873</w:t>
            </w:r>
          </w:p>
        </w:tc>
        <w:tc>
          <w:tcPr>
            <w:tcW w:w="1418" w:type="dxa"/>
            <w:tcBorders>
              <w:top w:val="single" w:sz="4" w:space="0" w:color="auto"/>
              <w:bottom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w:t>
            </w:r>
            <w:r w:rsidR="00B12A6A">
              <w:rPr>
                <w:rFonts w:ascii="Arial" w:hAnsi="Arial" w:cs="Arial"/>
                <w:b/>
                <w:szCs w:val="24"/>
                <w:lang w:eastAsia="en-GB"/>
              </w:rPr>
              <w:t>2,873</w:t>
            </w:r>
          </w:p>
        </w:tc>
      </w:tr>
      <w:tr w:rsidR="00252AE3" w:rsidRPr="00E93B66"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252AE3" w:rsidRPr="00605186" w:rsidRDefault="00252AE3" w:rsidP="00916ACB">
            <w:pPr>
              <w:autoSpaceDE w:val="0"/>
              <w:autoSpaceDN w:val="0"/>
              <w:adjustRightInd w:val="0"/>
              <w:spacing w:after="120"/>
              <w:jc w:val="right"/>
              <w:rPr>
                <w:rFonts w:ascii="Arial" w:hAnsi="Arial" w:cs="Arial"/>
                <w:b/>
                <w:szCs w:val="24"/>
                <w:lang w:eastAsia="en-GB"/>
              </w:rPr>
            </w:pPr>
          </w:p>
        </w:tc>
        <w:tc>
          <w:tcPr>
            <w:tcW w:w="1418"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p>
        </w:tc>
      </w:tr>
      <w:tr w:rsidR="00252AE3" w:rsidRPr="00605186"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 xml:space="preserve">Actuarial </w:t>
            </w:r>
            <w:r>
              <w:rPr>
                <w:rFonts w:ascii="Arial" w:hAnsi="Arial" w:cs="Arial"/>
                <w:szCs w:val="24"/>
                <w:lang w:eastAsia="en-GB"/>
              </w:rPr>
              <w:t xml:space="preserve">gain </w:t>
            </w:r>
            <w:r w:rsidRPr="00605186">
              <w:rPr>
                <w:rFonts w:ascii="Arial" w:hAnsi="Arial" w:cs="Arial"/>
                <w:szCs w:val="24"/>
                <w:lang w:eastAsia="en-GB"/>
              </w:rPr>
              <w:t>on pension liability</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0</w:t>
            </w:r>
          </w:p>
        </w:tc>
        <w:tc>
          <w:tcPr>
            <w:tcW w:w="1559" w:type="dxa"/>
          </w:tcPr>
          <w:p w:rsidR="00252AE3" w:rsidRPr="00605186"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-1,093</w:t>
            </w:r>
          </w:p>
        </w:tc>
        <w:tc>
          <w:tcPr>
            <w:tcW w:w="1418"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-1,093</w:t>
            </w:r>
          </w:p>
        </w:tc>
      </w:tr>
      <w:tr w:rsidR="00252AE3" w:rsidRPr="00605186"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r>
              <w:rPr>
                <w:rFonts w:ascii="Arial" w:hAnsi="Arial" w:cs="Arial"/>
                <w:szCs w:val="24"/>
                <w:lang w:eastAsia="en-GB"/>
              </w:rPr>
              <w:t>Property valuation adjustments</w:t>
            </w:r>
          </w:p>
        </w:tc>
        <w:tc>
          <w:tcPr>
            <w:tcW w:w="1559" w:type="dxa"/>
          </w:tcPr>
          <w:p w:rsidR="00252AE3" w:rsidRPr="00142054" w:rsidRDefault="00252AE3"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559" w:type="dxa"/>
          </w:tcPr>
          <w:p w:rsidR="00252AE3" w:rsidRDefault="00B12A6A" w:rsidP="009F1DED">
            <w:pPr>
              <w:autoSpaceDE w:val="0"/>
              <w:autoSpaceDN w:val="0"/>
              <w:adjustRightInd w:val="0"/>
              <w:spacing w:after="120"/>
              <w:jc w:val="right"/>
              <w:rPr>
                <w:rFonts w:ascii="Arial" w:hAnsi="Arial" w:cs="Arial"/>
                <w:szCs w:val="24"/>
                <w:lang w:eastAsia="en-GB"/>
              </w:rPr>
            </w:pPr>
            <w:r>
              <w:rPr>
                <w:rFonts w:ascii="Arial" w:hAnsi="Arial" w:cs="Arial"/>
                <w:szCs w:val="24"/>
                <w:lang w:eastAsia="en-GB"/>
              </w:rPr>
              <w:t>6,98</w:t>
            </w:r>
            <w:r w:rsidR="001D7D99">
              <w:rPr>
                <w:rFonts w:ascii="Arial" w:hAnsi="Arial" w:cs="Arial"/>
                <w:szCs w:val="24"/>
                <w:lang w:eastAsia="en-GB"/>
              </w:rPr>
              <w:t>1</w:t>
            </w:r>
          </w:p>
        </w:tc>
        <w:tc>
          <w:tcPr>
            <w:tcW w:w="1418" w:type="dxa"/>
          </w:tcPr>
          <w:p w:rsidR="00252AE3" w:rsidRDefault="00B12A6A" w:rsidP="00916ACB">
            <w:pPr>
              <w:autoSpaceDE w:val="0"/>
              <w:autoSpaceDN w:val="0"/>
              <w:adjustRightInd w:val="0"/>
              <w:spacing w:after="120"/>
              <w:jc w:val="right"/>
              <w:rPr>
                <w:rFonts w:ascii="Arial" w:hAnsi="Arial" w:cs="Arial"/>
                <w:szCs w:val="24"/>
                <w:lang w:eastAsia="en-GB"/>
              </w:rPr>
            </w:pPr>
            <w:r>
              <w:rPr>
                <w:rFonts w:ascii="Arial" w:hAnsi="Arial" w:cs="Arial"/>
                <w:szCs w:val="24"/>
                <w:lang w:eastAsia="en-GB"/>
              </w:rPr>
              <w:t>6,98</w:t>
            </w:r>
            <w:r w:rsidR="001D7D99">
              <w:rPr>
                <w:rFonts w:ascii="Arial" w:hAnsi="Arial" w:cs="Arial"/>
                <w:szCs w:val="24"/>
                <w:lang w:eastAsia="en-GB"/>
              </w:rPr>
              <w:t>1</w:t>
            </w:r>
          </w:p>
        </w:tc>
      </w:tr>
      <w:tr w:rsidR="00252AE3" w:rsidRPr="005F5A17"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0</w:t>
            </w:r>
          </w:p>
        </w:tc>
        <w:tc>
          <w:tcPr>
            <w:tcW w:w="1559" w:type="dxa"/>
            <w:tcBorders>
              <w:top w:val="single" w:sz="4" w:space="0" w:color="auto"/>
            </w:tcBorders>
          </w:tcPr>
          <w:p w:rsidR="00252AE3" w:rsidRPr="00605186" w:rsidRDefault="00B12A6A"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5,88</w:t>
            </w:r>
            <w:r w:rsidR="001D7D99">
              <w:rPr>
                <w:rFonts w:ascii="Arial" w:hAnsi="Arial" w:cs="Arial"/>
                <w:b/>
                <w:szCs w:val="24"/>
                <w:lang w:eastAsia="en-GB"/>
              </w:rPr>
              <w:t>8</w:t>
            </w:r>
          </w:p>
        </w:tc>
        <w:tc>
          <w:tcPr>
            <w:tcW w:w="1418" w:type="dxa"/>
            <w:tcBorders>
              <w:top w:val="single" w:sz="4" w:space="0" w:color="auto"/>
            </w:tcBorders>
          </w:tcPr>
          <w:p w:rsidR="00252AE3" w:rsidRPr="00142054" w:rsidRDefault="00B12A6A"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5,88</w:t>
            </w:r>
            <w:r w:rsidR="001D7D99">
              <w:rPr>
                <w:rFonts w:ascii="Arial" w:hAnsi="Arial" w:cs="Arial"/>
                <w:b/>
                <w:szCs w:val="24"/>
                <w:lang w:eastAsia="en-GB"/>
              </w:rPr>
              <w:t>8</w:t>
            </w:r>
          </w:p>
        </w:tc>
      </w:tr>
      <w:tr w:rsidR="00252AE3" w:rsidRPr="00605186" w:rsidTr="00916ACB">
        <w:tc>
          <w:tcPr>
            <w:tcW w:w="4678" w:type="dxa"/>
          </w:tcPr>
          <w:p w:rsidR="00252AE3" w:rsidRPr="00605186" w:rsidRDefault="00252AE3" w:rsidP="00916ACB">
            <w:pPr>
              <w:autoSpaceDE w:val="0"/>
              <w:autoSpaceDN w:val="0"/>
              <w:adjustRightInd w:val="0"/>
              <w:spacing w:after="120"/>
              <w:rPr>
                <w:rFonts w:ascii="Arial" w:hAnsi="Arial" w:cs="Arial"/>
                <w:szCs w:val="24"/>
                <w:lang w:eastAsia="en-GB"/>
              </w:rPr>
            </w:pPr>
          </w:p>
        </w:tc>
        <w:tc>
          <w:tcPr>
            <w:tcW w:w="1559" w:type="dxa"/>
            <w:tcBorders>
              <w:bottom w:val="single" w:sz="4" w:space="0" w:color="auto"/>
            </w:tcBorders>
          </w:tcPr>
          <w:p w:rsidR="00252AE3" w:rsidRPr="00142054" w:rsidRDefault="00252AE3" w:rsidP="00916ACB">
            <w:pPr>
              <w:autoSpaceDE w:val="0"/>
              <w:autoSpaceDN w:val="0"/>
              <w:adjustRightInd w:val="0"/>
              <w:spacing w:after="120"/>
              <w:jc w:val="right"/>
              <w:rPr>
                <w:rFonts w:ascii="Arial" w:hAnsi="Arial" w:cs="Arial"/>
                <w:szCs w:val="24"/>
                <w:lang w:eastAsia="en-GB"/>
              </w:rPr>
            </w:pPr>
          </w:p>
        </w:tc>
        <w:tc>
          <w:tcPr>
            <w:tcW w:w="1559" w:type="dxa"/>
            <w:tcBorders>
              <w:bottom w:val="single" w:sz="4" w:space="0" w:color="auto"/>
            </w:tcBorders>
          </w:tcPr>
          <w:p w:rsidR="00252AE3" w:rsidRPr="00605186" w:rsidRDefault="00252AE3" w:rsidP="00916ACB">
            <w:pPr>
              <w:autoSpaceDE w:val="0"/>
              <w:autoSpaceDN w:val="0"/>
              <w:adjustRightInd w:val="0"/>
              <w:spacing w:after="120"/>
              <w:jc w:val="right"/>
              <w:rPr>
                <w:rFonts w:ascii="Arial" w:hAnsi="Arial" w:cs="Arial"/>
                <w:szCs w:val="24"/>
                <w:lang w:eastAsia="en-GB"/>
              </w:rPr>
            </w:pPr>
          </w:p>
        </w:tc>
        <w:tc>
          <w:tcPr>
            <w:tcW w:w="1418" w:type="dxa"/>
            <w:tcBorders>
              <w:bottom w:val="single" w:sz="4" w:space="0" w:color="auto"/>
            </w:tcBorders>
          </w:tcPr>
          <w:p w:rsidR="00252AE3" w:rsidRPr="00142054" w:rsidRDefault="00252AE3" w:rsidP="00916ACB">
            <w:pPr>
              <w:autoSpaceDE w:val="0"/>
              <w:autoSpaceDN w:val="0"/>
              <w:adjustRightInd w:val="0"/>
              <w:spacing w:after="120"/>
              <w:jc w:val="right"/>
              <w:rPr>
                <w:rFonts w:ascii="Arial" w:hAnsi="Arial" w:cs="Arial"/>
                <w:szCs w:val="24"/>
                <w:lang w:eastAsia="en-GB"/>
              </w:rPr>
            </w:pPr>
          </w:p>
        </w:tc>
      </w:tr>
      <w:tr w:rsidR="00252AE3" w:rsidRPr="00605186" w:rsidTr="00916ACB">
        <w:tc>
          <w:tcPr>
            <w:tcW w:w="4678" w:type="dxa"/>
          </w:tcPr>
          <w:p w:rsidR="00252AE3" w:rsidRPr="00605186" w:rsidRDefault="00675E0D" w:rsidP="00675E0D">
            <w:pPr>
              <w:autoSpaceDE w:val="0"/>
              <w:autoSpaceDN w:val="0"/>
              <w:adjustRightInd w:val="0"/>
              <w:spacing w:after="120"/>
              <w:rPr>
                <w:rFonts w:ascii="Arial" w:hAnsi="Arial" w:cs="Arial"/>
                <w:b/>
                <w:szCs w:val="24"/>
                <w:lang w:eastAsia="en-GB"/>
              </w:rPr>
            </w:pPr>
            <w:r>
              <w:rPr>
                <w:rFonts w:ascii="Arial" w:hAnsi="Arial" w:cs="Arial"/>
                <w:b/>
                <w:szCs w:val="24"/>
                <w:lang w:eastAsia="en-GB"/>
              </w:rPr>
              <w:t>Total comprehensive expenditure</w:t>
            </w:r>
          </w:p>
        </w:tc>
        <w:tc>
          <w:tcPr>
            <w:tcW w:w="1559" w:type="dxa"/>
            <w:tcBorders>
              <w:top w:val="single" w:sz="4" w:space="0" w:color="auto"/>
              <w:bottom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0</w:t>
            </w:r>
          </w:p>
        </w:tc>
        <w:tc>
          <w:tcPr>
            <w:tcW w:w="1559" w:type="dxa"/>
            <w:tcBorders>
              <w:top w:val="single" w:sz="4" w:space="0" w:color="auto"/>
              <w:bottom w:val="single" w:sz="4" w:space="0" w:color="auto"/>
            </w:tcBorders>
          </w:tcPr>
          <w:p w:rsidR="00252AE3" w:rsidRPr="00605186" w:rsidRDefault="00252AE3" w:rsidP="00916ACB">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3</w:t>
            </w:r>
            <w:r w:rsidR="009F1DED">
              <w:rPr>
                <w:rFonts w:ascii="Arial" w:hAnsi="Arial" w:cs="Arial"/>
                <w:b/>
                <w:szCs w:val="24"/>
                <w:lang w:eastAsia="en-GB"/>
              </w:rPr>
              <w:t>,01</w:t>
            </w:r>
            <w:r w:rsidR="001D7D99">
              <w:rPr>
                <w:rFonts w:ascii="Arial" w:hAnsi="Arial" w:cs="Arial"/>
                <w:b/>
                <w:szCs w:val="24"/>
                <w:lang w:eastAsia="en-GB"/>
              </w:rPr>
              <w:t>5</w:t>
            </w:r>
          </w:p>
        </w:tc>
        <w:tc>
          <w:tcPr>
            <w:tcW w:w="1418" w:type="dxa"/>
            <w:tcBorders>
              <w:top w:val="single" w:sz="4" w:space="0" w:color="auto"/>
              <w:bottom w:val="single" w:sz="4" w:space="0" w:color="auto"/>
            </w:tcBorders>
          </w:tcPr>
          <w:p w:rsidR="00252AE3" w:rsidRPr="00142054" w:rsidRDefault="00252AE3" w:rsidP="002A11AD">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3,</w:t>
            </w:r>
            <w:r w:rsidR="002A11AD">
              <w:rPr>
                <w:rFonts w:ascii="Arial" w:hAnsi="Arial" w:cs="Arial"/>
                <w:b/>
                <w:szCs w:val="24"/>
                <w:lang w:eastAsia="en-GB"/>
              </w:rPr>
              <w:t>01</w:t>
            </w:r>
            <w:r w:rsidR="001D7D99">
              <w:rPr>
                <w:rFonts w:ascii="Arial" w:hAnsi="Arial" w:cs="Arial"/>
                <w:b/>
                <w:szCs w:val="24"/>
                <w:lang w:eastAsia="en-GB"/>
              </w:rPr>
              <w:t>5</w:t>
            </w:r>
          </w:p>
        </w:tc>
      </w:tr>
      <w:tr w:rsidR="00252AE3" w:rsidRPr="00E93B66" w:rsidTr="00916ACB">
        <w:tc>
          <w:tcPr>
            <w:tcW w:w="4678" w:type="dxa"/>
          </w:tcPr>
          <w:p w:rsidR="00252AE3" w:rsidRPr="00605186" w:rsidRDefault="00252AE3" w:rsidP="00916ACB">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252AE3" w:rsidRPr="00605186" w:rsidRDefault="00252AE3" w:rsidP="00916ACB">
            <w:pPr>
              <w:autoSpaceDE w:val="0"/>
              <w:autoSpaceDN w:val="0"/>
              <w:adjustRightInd w:val="0"/>
              <w:spacing w:after="120"/>
              <w:jc w:val="right"/>
              <w:rPr>
                <w:rFonts w:ascii="Arial" w:hAnsi="Arial" w:cs="Arial"/>
                <w:b/>
                <w:szCs w:val="24"/>
                <w:lang w:eastAsia="en-GB"/>
              </w:rPr>
            </w:pPr>
          </w:p>
        </w:tc>
        <w:tc>
          <w:tcPr>
            <w:tcW w:w="1418" w:type="dxa"/>
            <w:tcBorders>
              <w:top w:val="single" w:sz="4" w:space="0" w:color="auto"/>
            </w:tcBorders>
          </w:tcPr>
          <w:p w:rsidR="00252AE3" w:rsidRPr="00142054" w:rsidRDefault="00252AE3" w:rsidP="00916ACB">
            <w:pPr>
              <w:autoSpaceDE w:val="0"/>
              <w:autoSpaceDN w:val="0"/>
              <w:adjustRightInd w:val="0"/>
              <w:spacing w:after="120"/>
              <w:jc w:val="right"/>
              <w:rPr>
                <w:rFonts w:ascii="Arial" w:hAnsi="Arial" w:cs="Arial"/>
                <w:b/>
                <w:szCs w:val="24"/>
                <w:lang w:eastAsia="en-GB"/>
              </w:rPr>
            </w:pPr>
          </w:p>
        </w:tc>
      </w:tr>
    </w:tbl>
    <w:p w:rsidR="00252AE3" w:rsidRPr="006C34B3" w:rsidRDefault="00252AE3" w:rsidP="00252AE3">
      <w:pPr>
        <w:pStyle w:val="ListParagraph"/>
        <w:numPr>
          <w:ilvl w:val="0"/>
          <w:numId w:val="30"/>
        </w:numPr>
        <w:autoSpaceDE w:val="0"/>
        <w:autoSpaceDN w:val="0"/>
        <w:adjustRightInd w:val="0"/>
        <w:spacing w:after="120"/>
        <w:jc w:val="both"/>
        <w:rPr>
          <w:sz w:val="24"/>
          <w:szCs w:val="24"/>
          <w:lang w:eastAsia="en-GB"/>
        </w:rPr>
      </w:pPr>
      <w:r w:rsidRPr="006C34B3">
        <w:rPr>
          <w:sz w:val="24"/>
          <w:szCs w:val="24"/>
          <w:lang w:eastAsia="en-GB"/>
        </w:rPr>
        <w:t>The operational performance above delivered a surplus of £</w:t>
      </w:r>
      <w:r w:rsidR="00B12A6A">
        <w:rPr>
          <w:sz w:val="24"/>
          <w:szCs w:val="24"/>
          <w:lang w:eastAsia="en-GB"/>
        </w:rPr>
        <w:t>2.8</w:t>
      </w:r>
      <w:r w:rsidRPr="006C34B3">
        <w:rPr>
          <w:sz w:val="24"/>
          <w:szCs w:val="24"/>
          <w:lang w:eastAsia="en-GB"/>
        </w:rPr>
        <w:t xml:space="preserve"> million. Effective financial control has ensured this is broadly in line and </w:t>
      </w:r>
      <w:r w:rsidR="00B12A6A">
        <w:rPr>
          <w:sz w:val="24"/>
          <w:szCs w:val="24"/>
          <w:lang w:eastAsia="en-GB"/>
        </w:rPr>
        <w:t xml:space="preserve">slightly </w:t>
      </w:r>
      <w:r w:rsidRPr="006C34B3">
        <w:rPr>
          <w:sz w:val="24"/>
          <w:szCs w:val="24"/>
          <w:lang w:eastAsia="en-GB"/>
        </w:rPr>
        <w:t>better than the forecasts in previous reports to Authority throughout the year.</w:t>
      </w:r>
      <w:r>
        <w:rPr>
          <w:sz w:val="24"/>
          <w:szCs w:val="24"/>
          <w:lang w:eastAsia="en-GB"/>
        </w:rPr>
        <w:t xml:space="preserve"> </w:t>
      </w:r>
      <w:r w:rsidR="00BF20C4">
        <w:rPr>
          <w:sz w:val="24"/>
          <w:szCs w:val="24"/>
          <w:lang w:eastAsia="en-GB"/>
        </w:rPr>
        <w:t>Pension and property v</w:t>
      </w:r>
      <w:r w:rsidRPr="006C34B3">
        <w:rPr>
          <w:sz w:val="24"/>
          <w:szCs w:val="24"/>
          <w:lang w:eastAsia="en-GB"/>
        </w:rPr>
        <w:t xml:space="preserve">aluation adjustments </w:t>
      </w:r>
      <w:r w:rsidR="00675E0D">
        <w:rPr>
          <w:sz w:val="24"/>
          <w:szCs w:val="24"/>
          <w:lang w:eastAsia="en-GB"/>
        </w:rPr>
        <w:t xml:space="preserve">reduce the total by </w:t>
      </w:r>
      <w:r w:rsidRPr="006C34B3">
        <w:rPr>
          <w:sz w:val="24"/>
          <w:szCs w:val="24"/>
          <w:lang w:eastAsia="en-GB"/>
        </w:rPr>
        <w:t>£</w:t>
      </w:r>
      <w:r w:rsidR="00BF20C4">
        <w:rPr>
          <w:sz w:val="24"/>
          <w:szCs w:val="24"/>
          <w:lang w:eastAsia="en-GB"/>
        </w:rPr>
        <w:t>5</w:t>
      </w:r>
      <w:r w:rsidR="00675E0D">
        <w:rPr>
          <w:sz w:val="24"/>
          <w:szCs w:val="24"/>
          <w:lang w:eastAsia="en-GB"/>
        </w:rPr>
        <w:t>.</w:t>
      </w:r>
      <w:r w:rsidR="00BF20C4">
        <w:rPr>
          <w:sz w:val="24"/>
          <w:szCs w:val="24"/>
          <w:lang w:eastAsia="en-GB"/>
        </w:rPr>
        <w:t>8</w:t>
      </w:r>
      <w:r w:rsidRPr="006C34B3">
        <w:rPr>
          <w:sz w:val="24"/>
          <w:szCs w:val="24"/>
          <w:lang w:eastAsia="en-GB"/>
        </w:rPr>
        <w:t xml:space="preserve"> million and result in a </w:t>
      </w:r>
      <w:r w:rsidR="00675E0D">
        <w:rPr>
          <w:sz w:val="24"/>
          <w:szCs w:val="24"/>
          <w:lang w:eastAsia="en-GB"/>
        </w:rPr>
        <w:t xml:space="preserve">total comprehensive expenditure of </w:t>
      </w:r>
      <w:r w:rsidRPr="006C34B3">
        <w:rPr>
          <w:sz w:val="24"/>
          <w:szCs w:val="24"/>
          <w:lang w:eastAsia="en-GB"/>
        </w:rPr>
        <w:t>£</w:t>
      </w:r>
      <w:r w:rsidR="00675E0D">
        <w:rPr>
          <w:sz w:val="24"/>
          <w:szCs w:val="24"/>
          <w:lang w:eastAsia="en-GB"/>
        </w:rPr>
        <w:t>3</w:t>
      </w:r>
      <w:r w:rsidRPr="006C34B3">
        <w:rPr>
          <w:sz w:val="24"/>
          <w:szCs w:val="24"/>
          <w:lang w:eastAsia="en-GB"/>
        </w:rPr>
        <w:t xml:space="preserve">.0 million. </w:t>
      </w:r>
    </w:p>
    <w:p w:rsidR="00252AE3" w:rsidRPr="00552CEB" w:rsidRDefault="00252AE3" w:rsidP="00252AE3">
      <w:pPr>
        <w:pStyle w:val="ListParagraph"/>
        <w:autoSpaceDE w:val="0"/>
        <w:autoSpaceDN w:val="0"/>
        <w:adjustRightInd w:val="0"/>
        <w:spacing w:after="120"/>
        <w:ind w:left="360"/>
        <w:jc w:val="both"/>
        <w:rPr>
          <w:sz w:val="24"/>
          <w:szCs w:val="24"/>
          <w:lang w:eastAsia="en-GB"/>
        </w:rPr>
      </w:pPr>
    </w:p>
    <w:p w:rsidR="00252AE3" w:rsidRPr="00D900F2" w:rsidRDefault="00252AE3" w:rsidP="00252AE3">
      <w:pPr>
        <w:pStyle w:val="ListParagraph"/>
        <w:numPr>
          <w:ilvl w:val="0"/>
          <w:numId w:val="30"/>
        </w:numPr>
        <w:autoSpaceDE w:val="0"/>
        <w:autoSpaceDN w:val="0"/>
        <w:adjustRightInd w:val="0"/>
        <w:spacing w:after="120"/>
        <w:jc w:val="both"/>
        <w:rPr>
          <w:sz w:val="24"/>
          <w:szCs w:val="24"/>
          <w:lang w:eastAsia="en-GB"/>
        </w:rPr>
      </w:pPr>
      <w:r w:rsidRPr="00D900F2">
        <w:rPr>
          <w:sz w:val="24"/>
          <w:szCs w:val="24"/>
          <w:lang w:eastAsia="en-GB"/>
        </w:rPr>
        <w:t xml:space="preserve">Appendix </w:t>
      </w:r>
      <w:r w:rsidR="00487A54">
        <w:rPr>
          <w:sz w:val="24"/>
          <w:szCs w:val="24"/>
          <w:lang w:eastAsia="en-GB"/>
        </w:rPr>
        <w:t>1</w:t>
      </w:r>
      <w:r w:rsidRPr="00D900F2">
        <w:rPr>
          <w:sz w:val="24"/>
          <w:szCs w:val="24"/>
          <w:lang w:eastAsia="en-GB"/>
        </w:rPr>
        <w:t xml:space="preserve"> provides </w:t>
      </w:r>
      <w:r>
        <w:rPr>
          <w:sz w:val="24"/>
          <w:szCs w:val="24"/>
          <w:lang w:eastAsia="en-GB"/>
        </w:rPr>
        <w:t>a PAYT/FCL split of the out-turn</w:t>
      </w:r>
      <w:r w:rsidR="00896715">
        <w:rPr>
          <w:sz w:val="24"/>
          <w:szCs w:val="24"/>
          <w:lang w:eastAsia="en-GB"/>
        </w:rPr>
        <w:t xml:space="preserve"> surplus of £2.8 million</w:t>
      </w:r>
      <w:r>
        <w:rPr>
          <w:sz w:val="24"/>
          <w:szCs w:val="24"/>
          <w:lang w:eastAsia="en-GB"/>
        </w:rPr>
        <w:t>.</w:t>
      </w:r>
      <w:r w:rsidRPr="00D900F2">
        <w:rPr>
          <w:sz w:val="24"/>
          <w:szCs w:val="24"/>
          <w:lang w:eastAsia="en-GB"/>
        </w:rPr>
        <w:t xml:space="preserve"> </w:t>
      </w:r>
      <w:r>
        <w:rPr>
          <w:sz w:val="24"/>
          <w:szCs w:val="24"/>
          <w:lang w:eastAsia="en-GB"/>
        </w:rPr>
        <w:t xml:space="preserve">This and the summary above show that </w:t>
      </w:r>
      <w:r w:rsidRPr="00D900F2">
        <w:rPr>
          <w:sz w:val="24"/>
          <w:szCs w:val="24"/>
          <w:lang w:eastAsia="en-GB"/>
        </w:rPr>
        <w:t>In terms of operational performance the main variances relate to:</w:t>
      </w:r>
    </w:p>
    <w:p w:rsidR="00252AE3" w:rsidRDefault="00252AE3" w:rsidP="00252AE3">
      <w:pPr>
        <w:pStyle w:val="ListParagraph"/>
        <w:numPr>
          <w:ilvl w:val="0"/>
          <w:numId w:val="28"/>
        </w:numPr>
        <w:spacing w:after="120"/>
        <w:ind w:left="910"/>
        <w:jc w:val="both"/>
        <w:rPr>
          <w:sz w:val="24"/>
          <w:szCs w:val="24"/>
          <w:lang w:val="en-US"/>
        </w:rPr>
      </w:pPr>
      <w:r>
        <w:rPr>
          <w:sz w:val="24"/>
          <w:szCs w:val="24"/>
          <w:lang w:val="en-US"/>
        </w:rPr>
        <w:t xml:space="preserve">Lower waste transport and disposal costs resulting from savings </w:t>
      </w:r>
      <w:r w:rsidR="00B12A6A">
        <w:rPr>
          <w:sz w:val="24"/>
          <w:szCs w:val="24"/>
          <w:lang w:val="en-US"/>
        </w:rPr>
        <w:t xml:space="preserve">in procurement of </w:t>
      </w:r>
      <w:r>
        <w:rPr>
          <w:sz w:val="24"/>
          <w:szCs w:val="24"/>
          <w:lang w:val="en-US"/>
        </w:rPr>
        <w:t>food waste contracts and lower than expected waste volumes.</w:t>
      </w:r>
    </w:p>
    <w:p w:rsidR="00252AE3" w:rsidRDefault="00252AE3" w:rsidP="00252AE3">
      <w:pPr>
        <w:pStyle w:val="ListParagraph"/>
        <w:numPr>
          <w:ilvl w:val="0"/>
          <w:numId w:val="28"/>
        </w:numPr>
        <w:spacing w:after="120"/>
        <w:ind w:left="910"/>
        <w:jc w:val="both"/>
        <w:rPr>
          <w:sz w:val="24"/>
          <w:szCs w:val="24"/>
          <w:lang w:val="en-US"/>
        </w:rPr>
      </w:pPr>
      <w:r>
        <w:rPr>
          <w:sz w:val="24"/>
          <w:szCs w:val="24"/>
          <w:lang w:val="en-US"/>
        </w:rPr>
        <w:t>Higher premises costs and offsetting lower financing costs both resulting from the later than planned acquisition of transfer station sites i.e. rents had to be paid for a few months longer and financing costs were not incurred till a few months later.</w:t>
      </w:r>
    </w:p>
    <w:p w:rsidR="00252AE3" w:rsidRDefault="00252AE3" w:rsidP="00252AE3">
      <w:pPr>
        <w:pStyle w:val="ListParagraph"/>
        <w:spacing w:after="120"/>
        <w:ind w:left="360"/>
        <w:jc w:val="both"/>
        <w:rPr>
          <w:szCs w:val="24"/>
          <w:lang w:val="en-US"/>
        </w:rPr>
      </w:pPr>
    </w:p>
    <w:p w:rsidR="00552CEB" w:rsidRDefault="002B1DA7" w:rsidP="00C2799A">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 xml:space="preserve">To provide context and a </w:t>
      </w:r>
      <w:r w:rsidR="00F84DA9" w:rsidRPr="00552CEB">
        <w:rPr>
          <w:sz w:val="24"/>
          <w:szCs w:val="24"/>
          <w:lang w:eastAsia="en-GB"/>
        </w:rPr>
        <w:t xml:space="preserve">better </w:t>
      </w:r>
      <w:r w:rsidRPr="00552CEB">
        <w:rPr>
          <w:sz w:val="24"/>
          <w:szCs w:val="24"/>
          <w:lang w:eastAsia="en-GB"/>
        </w:rPr>
        <w:t>strategic perspective, it helps to look at the financial performance over a period of time.</w:t>
      </w:r>
      <w:r w:rsidR="00552CEB" w:rsidRPr="00552CEB">
        <w:rPr>
          <w:sz w:val="24"/>
          <w:szCs w:val="24"/>
          <w:lang w:eastAsia="en-GB"/>
        </w:rPr>
        <w:t xml:space="preserve"> </w:t>
      </w:r>
      <w:r w:rsidR="00F84DA9" w:rsidRPr="00552CEB">
        <w:rPr>
          <w:sz w:val="24"/>
          <w:szCs w:val="24"/>
          <w:lang w:eastAsia="en-GB"/>
        </w:rPr>
        <w:t xml:space="preserve">Therefore on the following page </w:t>
      </w:r>
      <w:r w:rsidR="005F7167" w:rsidRPr="00552CEB">
        <w:rPr>
          <w:sz w:val="24"/>
          <w:szCs w:val="24"/>
          <w:lang w:eastAsia="en-GB"/>
        </w:rPr>
        <w:t>the chart “</w:t>
      </w:r>
      <w:r w:rsidR="009F0A37" w:rsidRPr="00552CEB">
        <w:rPr>
          <w:sz w:val="24"/>
          <w:szCs w:val="24"/>
          <w:lang w:eastAsia="en-GB"/>
        </w:rPr>
        <w:t>WLWA cost per tonne</w:t>
      </w:r>
      <w:r w:rsidR="005F7167" w:rsidRPr="00552CEB">
        <w:rPr>
          <w:sz w:val="24"/>
          <w:szCs w:val="24"/>
          <w:lang w:eastAsia="en-GB"/>
        </w:rPr>
        <w:t>”</w:t>
      </w:r>
      <w:r w:rsidR="009F0A37" w:rsidRPr="00552CEB">
        <w:rPr>
          <w:sz w:val="24"/>
          <w:szCs w:val="24"/>
          <w:lang w:eastAsia="en-GB"/>
        </w:rPr>
        <w:t xml:space="preserve"> </w:t>
      </w:r>
      <w:r w:rsidRPr="00552CEB">
        <w:rPr>
          <w:sz w:val="24"/>
          <w:szCs w:val="24"/>
          <w:lang w:eastAsia="en-GB"/>
        </w:rPr>
        <w:t xml:space="preserve">looks at how effectively the Authority </w:t>
      </w:r>
      <w:r w:rsidR="00660A62">
        <w:rPr>
          <w:sz w:val="24"/>
          <w:szCs w:val="24"/>
          <w:lang w:eastAsia="en-GB"/>
        </w:rPr>
        <w:t>has managed</w:t>
      </w:r>
      <w:r w:rsidRPr="00552CEB">
        <w:rPr>
          <w:sz w:val="24"/>
          <w:szCs w:val="24"/>
          <w:lang w:eastAsia="en-GB"/>
        </w:rPr>
        <w:t xml:space="preserve"> its costs.</w:t>
      </w:r>
      <w:r w:rsidR="00552CEB" w:rsidRPr="00552CEB">
        <w:rPr>
          <w:sz w:val="24"/>
          <w:szCs w:val="24"/>
          <w:lang w:eastAsia="en-GB"/>
        </w:rPr>
        <w:t xml:space="preserve"> </w:t>
      </w:r>
      <w:r w:rsidRPr="00552CEB">
        <w:rPr>
          <w:sz w:val="24"/>
          <w:szCs w:val="24"/>
          <w:lang w:eastAsia="en-GB"/>
        </w:rPr>
        <w:t>The total cost of delivering services (</w:t>
      </w:r>
      <w:r w:rsidR="00F84DA9" w:rsidRPr="00552CEB">
        <w:rPr>
          <w:sz w:val="24"/>
          <w:szCs w:val="24"/>
          <w:lang w:eastAsia="en-GB"/>
        </w:rPr>
        <w:t xml:space="preserve">including </w:t>
      </w:r>
      <w:r w:rsidRPr="00552CEB">
        <w:rPr>
          <w:sz w:val="24"/>
          <w:szCs w:val="24"/>
          <w:lang w:eastAsia="en-GB"/>
        </w:rPr>
        <w:t xml:space="preserve">disposal </w:t>
      </w:r>
      <w:r w:rsidR="00F84DA9" w:rsidRPr="00552CEB">
        <w:rPr>
          <w:sz w:val="24"/>
          <w:szCs w:val="24"/>
          <w:lang w:eastAsia="en-GB"/>
        </w:rPr>
        <w:t xml:space="preserve">and treatment costs of </w:t>
      </w:r>
      <w:r w:rsidRPr="00552CEB">
        <w:rPr>
          <w:sz w:val="24"/>
          <w:szCs w:val="24"/>
          <w:lang w:eastAsia="en-GB"/>
        </w:rPr>
        <w:t xml:space="preserve">all </w:t>
      </w:r>
      <w:r w:rsidR="00F84DA9" w:rsidRPr="00552CEB">
        <w:rPr>
          <w:sz w:val="24"/>
          <w:szCs w:val="24"/>
          <w:lang w:eastAsia="en-GB"/>
        </w:rPr>
        <w:t xml:space="preserve">waste </w:t>
      </w:r>
      <w:r w:rsidRPr="00552CEB">
        <w:rPr>
          <w:sz w:val="24"/>
          <w:szCs w:val="24"/>
          <w:lang w:eastAsia="en-GB"/>
        </w:rPr>
        <w:t>materials, overheads and financing</w:t>
      </w:r>
      <w:r w:rsidR="00F84DA9" w:rsidRPr="00552CEB">
        <w:rPr>
          <w:sz w:val="24"/>
          <w:szCs w:val="24"/>
          <w:lang w:eastAsia="en-GB"/>
        </w:rPr>
        <w:t xml:space="preserve"> </w:t>
      </w:r>
      <w:r w:rsidR="00471EB6">
        <w:rPr>
          <w:sz w:val="24"/>
          <w:szCs w:val="24"/>
          <w:lang w:eastAsia="en-GB"/>
        </w:rPr>
        <w:t>but excluding valuation adjustments</w:t>
      </w:r>
      <w:r w:rsidRPr="00552CEB">
        <w:rPr>
          <w:sz w:val="24"/>
          <w:szCs w:val="24"/>
          <w:lang w:eastAsia="en-GB"/>
        </w:rPr>
        <w:t xml:space="preserve">) is divided by the total </w:t>
      </w:r>
      <w:r w:rsidR="002E4C7C" w:rsidRPr="00552CEB">
        <w:rPr>
          <w:sz w:val="24"/>
          <w:szCs w:val="24"/>
          <w:lang w:eastAsia="en-GB"/>
        </w:rPr>
        <w:t xml:space="preserve">tonnes of </w:t>
      </w:r>
      <w:r w:rsidRPr="00552CEB">
        <w:rPr>
          <w:sz w:val="24"/>
          <w:szCs w:val="24"/>
          <w:lang w:eastAsia="en-GB"/>
        </w:rPr>
        <w:t xml:space="preserve">waste </w:t>
      </w:r>
      <w:r w:rsidR="00F84DA9" w:rsidRPr="00552CEB">
        <w:rPr>
          <w:sz w:val="24"/>
          <w:szCs w:val="24"/>
          <w:lang w:eastAsia="en-GB"/>
        </w:rPr>
        <w:t xml:space="preserve">(all materials) </w:t>
      </w:r>
      <w:r w:rsidR="002E4C7C" w:rsidRPr="00552CEB">
        <w:rPr>
          <w:sz w:val="24"/>
          <w:szCs w:val="24"/>
          <w:lang w:eastAsia="en-GB"/>
        </w:rPr>
        <w:t xml:space="preserve">disposed </w:t>
      </w:r>
      <w:r w:rsidRPr="00552CEB">
        <w:rPr>
          <w:sz w:val="24"/>
          <w:szCs w:val="24"/>
          <w:lang w:eastAsia="en-GB"/>
        </w:rPr>
        <w:t>by the Authority</w:t>
      </w:r>
      <w:r w:rsidR="00F84DA9" w:rsidRPr="00552CEB">
        <w:rPr>
          <w:sz w:val="24"/>
          <w:szCs w:val="24"/>
          <w:lang w:eastAsia="en-GB"/>
        </w:rPr>
        <w:t>,</w:t>
      </w:r>
      <w:r w:rsidRPr="00552CEB">
        <w:rPr>
          <w:sz w:val="24"/>
          <w:szCs w:val="24"/>
          <w:lang w:eastAsia="en-GB"/>
        </w:rPr>
        <w:t xml:space="preserve"> </w:t>
      </w:r>
      <w:r w:rsidR="00144E42" w:rsidRPr="00552CEB">
        <w:rPr>
          <w:sz w:val="24"/>
          <w:szCs w:val="24"/>
          <w:lang w:eastAsia="en-GB"/>
        </w:rPr>
        <w:t>to provide a</w:t>
      </w:r>
      <w:r w:rsidR="009F0A37" w:rsidRPr="00552CEB">
        <w:rPr>
          <w:sz w:val="24"/>
          <w:szCs w:val="24"/>
          <w:lang w:eastAsia="en-GB"/>
        </w:rPr>
        <w:t>n overall</w:t>
      </w:r>
      <w:r w:rsidR="00144E42" w:rsidRPr="00552CEB">
        <w:rPr>
          <w:sz w:val="24"/>
          <w:szCs w:val="24"/>
          <w:lang w:eastAsia="en-GB"/>
        </w:rPr>
        <w:t xml:space="preserve"> cost per tonne figure. And this has been plotted over a </w:t>
      </w:r>
      <w:r w:rsidR="00C277A2">
        <w:rPr>
          <w:sz w:val="24"/>
          <w:szCs w:val="24"/>
          <w:lang w:eastAsia="en-GB"/>
        </w:rPr>
        <w:t>longer timeframe</w:t>
      </w:r>
      <w:r w:rsidR="00144E42" w:rsidRPr="00552CEB">
        <w:rPr>
          <w:sz w:val="24"/>
          <w:szCs w:val="24"/>
          <w:lang w:eastAsia="en-GB"/>
        </w:rPr>
        <w:t>.</w:t>
      </w:r>
      <w:r w:rsidR="00552CEB" w:rsidRPr="00552CEB">
        <w:rPr>
          <w:sz w:val="24"/>
          <w:szCs w:val="24"/>
          <w:lang w:eastAsia="en-GB"/>
        </w:rPr>
        <w:t xml:space="preserve"> </w:t>
      </w:r>
    </w:p>
    <w:p w:rsidR="00552CEB" w:rsidRPr="00552CEB" w:rsidRDefault="00552CEB" w:rsidP="00552CEB">
      <w:pPr>
        <w:pStyle w:val="ListParagraph"/>
        <w:rPr>
          <w:sz w:val="24"/>
          <w:szCs w:val="24"/>
          <w:lang w:eastAsia="en-GB"/>
        </w:rPr>
      </w:pPr>
    </w:p>
    <w:p w:rsidR="002B1DA7" w:rsidRPr="00552CEB" w:rsidRDefault="00144E42" w:rsidP="00C2799A">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 xml:space="preserve">The </w:t>
      </w:r>
      <w:r w:rsidR="00F84DA9" w:rsidRPr="00552CEB">
        <w:rPr>
          <w:sz w:val="24"/>
          <w:szCs w:val="24"/>
          <w:lang w:eastAsia="en-GB"/>
        </w:rPr>
        <w:t xml:space="preserve">key feature illustrated by this chart is that the </w:t>
      </w:r>
      <w:r w:rsidR="00F77A10" w:rsidRPr="00552CEB">
        <w:rPr>
          <w:sz w:val="24"/>
          <w:szCs w:val="24"/>
          <w:lang w:eastAsia="en-GB"/>
        </w:rPr>
        <w:t xml:space="preserve">WLWA </w:t>
      </w:r>
      <w:r w:rsidR="00F84DA9" w:rsidRPr="00552CEB">
        <w:rPr>
          <w:sz w:val="24"/>
          <w:szCs w:val="24"/>
          <w:lang w:eastAsia="en-GB"/>
        </w:rPr>
        <w:t xml:space="preserve">cost per tonne </w:t>
      </w:r>
      <w:r w:rsidR="00C12A43">
        <w:rPr>
          <w:sz w:val="24"/>
          <w:szCs w:val="24"/>
          <w:lang w:eastAsia="en-GB"/>
        </w:rPr>
        <w:t xml:space="preserve">is only </w:t>
      </w:r>
      <w:r w:rsidR="00DD5AA4">
        <w:rPr>
          <w:sz w:val="24"/>
          <w:szCs w:val="24"/>
          <w:lang w:eastAsia="en-GB"/>
        </w:rPr>
        <w:t>3.</w:t>
      </w:r>
      <w:r w:rsidR="00B12A6A">
        <w:rPr>
          <w:sz w:val="24"/>
          <w:szCs w:val="24"/>
          <w:lang w:eastAsia="en-GB"/>
        </w:rPr>
        <w:t>5</w:t>
      </w:r>
      <w:r w:rsidR="00C12A43">
        <w:rPr>
          <w:sz w:val="24"/>
          <w:szCs w:val="24"/>
          <w:lang w:eastAsia="en-GB"/>
        </w:rPr>
        <w:t>% higher than in 2012/13</w:t>
      </w:r>
      <w:r w:rsidR="00F84DA9" w:rsidRPr="00552CEB">
        <w:rPr>
          <w:sz w:val="24"/>
          <w:szCs w:val="24"/>
          <w:lang w:eastAsia="en-GB"/>
        </w:rPr>
        <w:t xml:space="preserve"> reflect</w:t>
      </w:r>
      <w:r w:rsidR="00C12A43">
        <w:rPr>
          <w:sz w:val="24"/>
          <w:szCs w:val="24"/>
          <w:lang w:eastAsia="en-GB"/>
        </w:rPr>
        <w:t>ing</w:t>
      </w:r>
      <w:r w:rsidR="00F84DA9" w:rsidRPr="00552CEB">
        <w:rPr>
          <w:sz w:val="24"/>
          <w:szCs w:val="24"/>
          <w:lang w:eastAsia="en-GB"/>
        </w:rPr>
        <w:t xml:space="preserve"> the effective control of costs and spending over </w:t>
      </w:r>
      <w:r w:rsidR="002E4C7C" w:rsidRPr="00552CEB">
        <w:rPr>
          <w:sz w:val="24"/>
          <w:szCs w:val="24"/>
          <w:lang w:eastAsia="en-GB"/>
        </w:rPr>
        <w:t>the</w:t>
      </w:r>
      <w:r w:rsidR="00F84DA9" w:rsidRPr="00552CEB">
        <w:rPr>
          <w:sz w:val="24"/>
          <w:szCs w:val="24"/>
          <w:lang w:eastAsia="en-GB"/>
        </w:rPr>
        <w:t xml:space="preserve"> period</w:t>
      </w:r>
      <w:r w:rsidR="002E4C7C" w:rsidRPr="00552CEB">
        <w:rPr>
          <w:sz w:val="24"/>
          <w:szCs w:val="24"/>
          <w:lang w:eastAsia="en-GB"/>
        </w:rPr>
        <w:t>.</w:t>
      </w:r>
      <w:r w:rsidR="00C12A43">
        <w:rPr>
          <w:sz w:val="24"/>
          <w:szCs w:val="24"/>
          <w:lang w:eastAsia="en-GB"/>
        </w:rPr>
        <w:t xml:space="preserve"> It is worth noting that 2016/17 saw the Authority benefit from one-off </w:t>
      </w:r>
      <w:r w:rsidR="00236F47">
        <w:rPr>
          <w:sz w:val="24"/>
          <w:szCs w:val="24"/>
          <w:lang w:eastAsia="en-GB"/>
        </w:rPr>
        <w:t xml:space="preserve">full-service commencement cost savings such as </w:t>
      </w:r>
      <w:r w:rsidR="00C12A43">
        <w:rPr>
          <w:sz w:val="24"/>
          <w:szCs w:val="24"/>
          <w:lang w:eastAsia="en-GB"/>
        </w:rPr>
        <w:t>low commissioning rates.</w:t>
      </w:r>
      <w:r w:rsidR="00F77A10" w:rsidRPr="00552CEB">
        <w:rPr>
          <w:sz w:val="24"/>
          <w:szCs w:val="24"/>
          <w:lang w:eastAsia="en-GB"/>
        </w:rPr>
        <w:t xml:space="preserve"> </w:t>
      </w:r>
    </w:p>
    <w:p w:rsidR="007C5094" w:rsidRDefault="00471EB6" w:rsidP="00294FF3">
      <w:pPr>
        <w:autoSpaceDE w:val="0"/>
        <w:autoSpaceDN w:val="0"/>
        <w:adjustRightInd w:val="0"/>
        <w:spacing w:after="120"/>
        <w:jc w:val="center"/>
        <w:rPr>
          <w:rFonts w:ascii="Arial" w:hAnsi="Arial" w:cs="Arial"/>
          <w:szCs w:val="24"/>
          <w:lang w:eastAsia="en-GB"/>
        </w:rPr>
      </w:pPr>
      <w:r>
        <w:rPr>
          <w:noProof/>
          <w:lang w:eastAsia="en-GB"/>
        </w:rPr>
        <w:lastRenderedPageBreak/>
        <w:drawing>
          <wp:inline distT="0" distB="0" distL="0" distR="0" wp14:anchorId="6C320214" wp14:editId="2C2166CB">
            <wp:extent cx="5086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DA7" w:rsidRPr="00552CEB" w:rsidRDefault="002B1DA7" w:rsidP="00C2799A">
      <w:pPr>
        <w:autoSpaceDE w:val="0"/>
        <w:autoSpaceDN w:val="0"/>
        <w:adjustRightInd w:val="0"/>
        <w:spacing w:after="120"/>
        <w:jc w:val="both"/>
        <w:rPr>
          <w:rFonts w:ascii="Arial" w:hAnsi="Arial" w:cs="Arial"/>
          <w:szCs w:val="24"/>
          <w:lang w:eastAsia="en-GB"/>
        </w:rPr>
      </w:pPr>
    </w:p>
    <w:p w:rsidR="009F0A37" w:rsidRPr="00552CEB" w:rsidRDefault="002E4C7C" w:rsidP="00C2799A">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It is also useful to consider how the o</w:t>
      </w:r>
      <w:r w:rsidR="00660A62">
        <w:rPr>
          <w:sz w:val="24"/>
          <w:szCs w:val="24"/>
          <w:lang w:eastAsia="en-GB"/>
        </w:rPr>
        <w:t xml:space="preserve">perational </w:t>
      </w:r>
      <w:r w:rsidRPr="00552CEB">
        <w:rPr>
          <w:sz w:val="24"/>
          <w:szCs w:val="24"/>
          <w:lang w:eastAsia="en-GB"/>
        </w:rPr>
        <w:t>performance (i.e. surplus</w:t>
      </w:r>
      <w:r w:rsidR="00660A62">
        <w:rPr>
          <w:sz w:val="24"/>
          <w:szCs w:val="24"/>
          <w:lang w:eastAsia="en-GB"/>
        </w:rPr>
        <w:t xml:space="preserve"> / </w:t>
      </w:r>
      <w:r w:rsidRPr="00552CEB">
        <w:rPr>
          <w:sz w:val="24"/>
          <w:szCs w:val="24"/>
          <w:lang w:eastAsia="en-GB"/>
        </w:rPr>
        <w:t>deficit</w:t>
      </w:r>
      <w:r w:rsidR="00660A62">
        <w:rPr>
          <w:sz w:val="24"/>
          <w:szCs w:val="24"/>
          <w:lang w:eastAsia="en-GB"/>
        </w:rPr>
        <w:t xml:space="preserve"> on provision of services</w:t>
      </w:r>
      <w:r w:rsidRPr="00552CEB">
        <w:rPr>
          <w:sz w:val="24"/>
          <w:szCs w:val="24"/>
          <w:lang w:eastAsia="en-GB"/>
        </w:rPr>
        <w:t xml:space="preserve">) has moved over </w:t>
      </w:r>
      <w:r w:rsidR="00A92176">
        <w:rPr>
          <w:sz w:val="24"/>
          <w:szCs w:val="24"/>
          <w:lang w:eastAsia="en-GB"/>
        </w:rPr>
        <w:t xml:space="preserve">the same </w:t>
      </w:r>
      <w:r w:rsidRPr="00552CEB">
        <w:rPr>
          <w:sz w:val="24"/>
          <w:szCs w:val="24"/>
          <w:lang w:eastAsia="en-GB"/>
        </w:rPr>
        <w:t>period</w:t>
      </w:r>
      <w:r w:rsidR="007C5094">
        <w:rPr>
          <w:sz w:val="24"/>
          <w:szCs w:val="24"/>
          <w:lang w:eastAsia="en-GB"/>
        </w:rPr>
        <w:t xml:space="preserve"> of time</w:t>
      </w:r>
      <w:r w:rsidRPr="00552CEB">
        <w:rPr>
          <w:sz w:val="24"/>
          <w:szCs w:val="24"/>
          <w:lang w:eastAsia="en-GB"/>
        </w:rPr>
        <w:t>.</w:t>
      </w:r>
      <w:r w:rsidR="00552CEB" w:rsidRPr="00552CEB">
        <w:rPr>
          <w:sz w:val="24"/>
          <w:szCs w:val="24"/>
          <w:lang w:eastAsia="en-GB"/>
        </w:rPr>
        <w:t xml:space="preserve"> </w:t>
      </w:r>
      <w:r w:rsidR="00660A62">
        <w:rPr>
          <w:sz w:val="24"/>
          <w:szCs w:val="24"/>
          <w:lang w:eastAsia="en-GB"/>
        </w:rPr>
        <w:t xml:space="preserve">This is </w:t>
      </w:r>
      <w:r w:rsidR="00275C91" w:rsidRPr="00552CEB">
        <w:rPr>
          <w:sz w:val="24"/>
          <w:szCs w:val="24"/>
          <w:lang w:eastAsia="en-GB"/>
        </w:rPr>
        <w:t>illustrate</w:t>
      </w:r>
      <w:r w:rsidR="00660A62">
        <w:rPr>
          <w:sz w:val="24"/>
          <w:szCs w:val="24"/>
          <w:lang w:eastAsia="en-GB"/>
        </w:rPr>
        <w:t xml:space="preserve">d in the chart below which </w:t>
      </w:r>
      <w:r w:rsidR="00275C91" w:rsidRPr="00552CEB">
        <w:rPr>
          <w:sz w:val="24"/>
          <w:szCs w:val="24"/>
          <w:lang w:eastAsia="en-GB"/>
        </w:rPr>
        <w:t>shows that</w:t>
      </w:r>
      <w:r w:rsidR="005F7167" w:rsidRPr="00552CEB">
        <w:rPr>
          <w:sz w:val="24"/>
          <w:szCs w:val="24"/>
          <w:lang w:eastAsia="en-GB"/>
        </w:rPr>
        <w:t xml:space="preserve"> f</w:t>
      </w:r>
      <w:r w:rsidR="009F0A37" w:rsidRPr="00552CEB">
        <w:rPr>
          <w:sz w:val="24"/>
          <w:szCs w:val="24"/>
          <w:lang w:eastAsia="en-GB"/>
        </w:rPr>
        <w:t xml:space="preserve">rom a </w:t>
      </w:r>
      <w:r w:rsidR="00A92176">
        <w:rPr>
          <w:sz w:val="24"/>
          <w:szCs w:val="24"/>
          <w:lang w:eastAsia="en-GB"/>
        </w:rPr>
        <w:t xml:space="preserve">deficit </w:t>
      </w:r>
      <w:r w:rsidR="009F0A37" w:rsidRPr="00552CEB">
        <w:rPr>
          <w:sz w:val="24"/>
          <w:szCs w:val="24"/>
          <w:lang w:eastAsia="en-GB"/>
        </w:rPr>
        <w:t>position where the Authority operated at a significant risk</w:t>
      </w:r>
      <w:r w:rsidR="00275C91" w:rsidRPr="00552CEB">
        <w:rPr>
          <w:sz w:val="24"/>
          <w:szCs w:val="24"/>
          <w:lang w:eastAsia="en-GB"/>
        </w:rPr>
        <w:t>s</w:t>
      </w:r>
      <w:r w:rsidR="009F0A37" w:rsidRPr="00552CEB">
        <w:rPr>
          <w:sz w:val="24"/>
          <w:szCs w:val="24"/>
          <w:lang w:eastAsia="en-GB"/>
        </w:rPr>
        <w:t xml:space="preserve"> of being unable to access cash readily to meet obligations, the position has been improved to ensure that sufficient funds are being generated from day to day activities to meet day to day obligations. </w:t>
      </w:r>
    </w:p>
    <w:p w:rsidR="00DA6DB3" w:rsidRDefault="00B12A6A" w:rsidP="00A92176">
      <w:pPr>
        <w:autoSpaceDE w:val="0"/>
        <w:autoSpaceDN w:val="0"/>
        <w:adjustRightInd w:val="0"/>
        <w:spacing w:after="120"/>
        <w:jc w:val="center"/>
        <w:rPr>
          <w:rFonts w:ascii="Arial" w:hAnsi="Arial" w:cs="Arial"/>
          <w:szCs w:val="24"/>
          <w:lang w:eastAsia="en-GB"/>
        </w:rPr>
      </w:pPr>
      <w:r>
        <w:rPr>
          <w:noProof/>
          <w:lang w:eastAsia="en-GB"/>
        </w:rPr>
        <w:drawing>
          <wp:inline distT="0" distB="0" distL="0" distR="0" wp14:anchorId="3072528E" wp14:editId="25062E2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CEB" w:rsidRDefault="00552CEB" w:rsidP="00C2799A">
      <w:pPr>
        <w:autoSpaceDE w:val="0"/>
        <w:autoSpaceDN w:val="0"/>
        <w:adjustRightInd w:val="0"/>
        <w:spacing w:after="120"/>
        <w:jc w:val="both"/>
        <w:rPr>
          <w:rFonts w:ascii="Arial" w:hAnsi="Arial" w:cs="Arial"/>
          <w:szCs w:val="24"/>
          <w:lang w:eastAsia="en-GB"/>
        </w:rPr>
      </w:pPr>
    </w:p>
    <w:p w:rsidR="00C277A2" w:rsidRDefault="00A92176" w:rsidP="00552CEB">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Both of the charts above show that from </w:t>
      </w:r>
      <w:r w:rsidR="00F77A10" w:rsidRPr="00552CEB">
        <w:rPr>
          <w:sz w:val="24"/>
          <w:szCs w:val="24"/>
          <w:lang w:eastAsia="en-GB"/>
        </w:rPr>
        <w:t xml:space="preserve">strategic </w:t>
      </w:r>
      <w:r>
        <w:rPr>
          <w:sz w:val="24"/>
          <w:szCs w:val="24"/>
          <w:lang w:eastAsia="en-GB"/>
        </w:rPr>
        <w:t xml:space="preserve">longer term </w:t>
      </w:r>
      <w:r w:rsidR="00F77A10" w:rsidRPr="00552CEB">
        <w:rPr>
          <w:sz w:val="24"/>
          <w:szCs w:val="24"/>
          <w:lang w:eastAsia="en-GB"/>
        </w:rPr>
        <w:t xml:space="preserve">perspective and also from </w:t>
      </w:r>
      <w:r>
        <w:rPr>
          <w:sz w:val="24"/>
          <w:szCs w:val="24"/>
          <w:lang w:eastAsia="en-GB"/>
        </w:rPr>
        <w:t xml:space="preserve">the </w:t>
      </w:r>
      <w:r w:rsidR="00F77A10" w:rsidRPr="00552CEB">
        <w:rPr>
          <w:sz w:val="24"/>
          <w:szCs w:val="24"/>
          <w:lang w:eastAsia="en-GB"/>
        </w:rPr>
        <w:t xml:space="preserve">individual year’s </w:t>
      </w:r>
      <w:r>
        <w:rPr>
          <w:sz w:val="24"/>
          <w:szCs w:val="24"/>
          <w:lang w:eastAsia="en-GB"/>
        </w:rPr>
        <w:t>results</w:t>
      </w:r>
      <w:r w:rsidR="00F77A10" w:rsidRPr="00552CEB">
        <w:rPr>
          <w:sz w:val="24"/>
          <w:szCs w:val="24"/>
          <w:lang w:eastAsia="en-GB"/>
        </w:rPr>
        <w:t>, the financial performance has been good.</w:t>
      </w:r>
    </w:p>
    <w:p w:rsidR="00A92176" w:rsidRDefault="00F77A10" w:rsidP="00C277A2">
      <w:pPr>
        <w:pStyle w:val="ListParagraph"/>
        <w:autoSpaceDE w:val="0"/>
        <w:autoSpaceDN w:val="0"/>
        <w:adjustRightInd w:val="0"/>
        <w:spacing w:after="120"/>
        <w:ind w:left="360"/>
        <w:jc w:val="both"/>
        <w:rPr>
          <w:sz w:val="24"/>
          <w:szCs w:val="24"/>
          <w:lang w:eastAsia="en-GB"/>
        </w:rPr>
      </w:pPr>
      <w:r w:rsidRPr="00552CEB">
        <w:rPr>
          <w:sz w:val="24"/>
          <w:szCs w:val="24"/>
          <w:lang w:eastAsia="en-GB"/>
        </w:rPr>
        <w:t xml:space="preserve"> </w:t>
      </w:r>
    </w:p>
    <w:p w:rsidR="00C277A2" w:rsidRPr="006C2F7C" w:rsidRDefault="00C277A2" w:rsidP="00C277A2">
      <w:pPr>
        <w:autoSpaceDE w:val="0"/>
        <w:autoSpaceDN w:val="0"/>
        <w:adjustRightInd w:val="0"/>
        <w:spacing w:after="120"/>
        <w:jc w:val="both"/>
        <w:rPr>
          <w:rFonts w:ascii="Arial" w:hAnsi="Arial" w:cs="Arial"/>
          <w:b/>
          <w:szCs w:val="24"/>
          <w:lang w:eastAsia="en-GB"/>
        </w:rPr>
      </w:pPr>
      <w:r w:rsidRPr="006C2F7C">
        <w:rPr>
          <w:rFonts w:ascii="Arial" w:hAnsi="Arial" w:cs="Arial"/>
          <w:b/>
          <w:szCs w:val="24"/>
          <w:lang w:eastAsia="en-GB"/>
        </w:rPr>
        <w:t>Reserves</w:t>
      </w:r>
    </w:p>
    <w:p w:rsidR="00DD5AA4" w:rsidRPr="00DD5AA4" w:rsidRDefault="00C277A2" w:rsidP="00DD5AA4">
      <w:pPr>
        <w:pStyle w:val="ListParagraph"/>
        <w:numPr>
          <w:ilvl w:val="0"/>
          <w:numId w:val="30"/>
        </w:numPr>
        <w:autoSpaceDE w:val="0"/>
        <w:autoSpaceDN w:val="0"/>
        <w:adjustRightInd w:val="0"/>
        <w:spacing w:after="120"/>
        <w:jc w:val="both"/>
        <w:rPr>
          <w:szCs w:val="24"/>
          <w:lang w:eastAsia="en-GB"/>
        </w:rPr>
      </w:pPr>
      <w:r w:rsidRPr="00CC7827">
        <w:rPr>
          <w:sz w:val="24"/>
          <w:szCs w:val="24"/>
          <w:lang w:eastAsia="en-GB"/>
        </w:rPr>
        <w:t xml:space="preserve">As well as performance, it is also important to consider the financial strength of the Authority. A good indicator of financial strength is the level of reserves. </w:t>
      </w:r>
      <w:r w:rsidR="00DD5AA4">
        <w:rPr>
          <w:sz w:val="24"/>
          <w:szCs w:val="24"/>
          <w:lang w:eastAsia="en-GB"/>
        </w:rPr>
        <w:t>So</w:t>
      </w:r>
      <w:r w:rsidR="00DD5AA4" w:rsidRPr="00DD5AA4">
        <w:rPr>
          <w:sz w:val="24"/>
          <w:szCs w:val="24"/>
          <w:lang w:eastAsia="en-GB"/>
        </w:rPr>
        <w:t xml:space="preserve"> by considering reserves available to manage risk over a longer timeframe</w:t>
      </w:r>
      <w:r w:rsidR="00DD5AA4">
        <w:rPr>
          <w:sz w:val="24"/>
          <w:szCs w:val="24"/>
          <w:lang w:eastAsia="en-GB"/>
        </w:rPr>
        <w:t xml:space="preserve"> we have </w:t>
      </w:r>
      <w:r w:rsidR="00DD5AA4" w:rsidRPr="00DD5AA4">
        <w:rPr>
          <w:sz w:val="24"/>
          <w:szCs w:val="24"/>
          <w:lang w:eastAsia="en-GB"/>
        </w:rPr>
        <w:t>a more strategic perspective. The following chart plots these over the same longer timeframe.</w:t>
      </w:r>
    </w:p>
    <w:p w:rsidR="00DD5AA4" w:rsidRDefault="00DD5AA4" w:rsidP="00DD5AA4">
      <w:pPr>
        <w:autoSpaceDE w:val="0"/>
        <w:autoSpaceDN w:val="0"/>
        <w:adjustRightInd w:val="0"/>
        <w:spacing w:after="120"/>
        <w:ind w:left="170"/>
        <w:jc w:val="center"/>
        <w:rPr>
          <w:rFonts w:ascii="Arial" w:hAnsi="Arial" w:cs="Arial"/>
          <w:szCs w:val="24"/>
          <w:lang w:eastAsia="en-GB"/>
        </w:rPr>
      </w:pPr>
      <w:r>
        <w:rPr>
          <w:noProof/>
          <w:lang w:eastAsia="en-GB"/>
        </w:rPr>
        <w:lastRenderedPageBreak/>
        <w:drawing>
          <wp:inline distT="0" distB="0" distL="0" distR="0" wp14:anchorId="37725B75" wp14:editId="5196FAED">
            <wp:extent cx="5238750" cy="3086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5AA4" w:rsidRDefault="00DD5AA4" w:rsidP="00DD5AA4">
      <w:pPr>
        <w:autoSpaceDE w:val="0"/>
        <w:autoSpaceDN w:val="0"/>
        <w:adjustRightInd w:val="0"/>
        <w:spacing w:after="120"/>
        <w:ind w:left="170"/>
        <w:jc w:val="both"/>
        <w:rPr>
          <w:rFonts w:ascii="Arial" w:hAnsi="Arial" w:cs="Arial"/>
          <w:szCs w:val="24"/>
          <w:lang w:eastAsia="en-GB"/>
        </w:rPr>
      </w:pPr>
    </w:p>
    <w:p w:rsidR="00DD5AA4" w:rsidRPr="00C277A2" w:rsidRDefault="00DD5AA4" w:rsidP="00DD5AA4">
      <w:pPr>
        <w:pStyle w:val="ListParagraph"/>
        <w:numPr>
          <w:ilvl w:val="0"/>
          <w:numId w:val="30"/>
        </w:numPr>
        <w:autoSpaceDE w:val="0"/>
        <w:autoSpaceDN w:val="0"/>
        <w:adjustRightInd w:val="0"/>
        <w:spacing w:after="120"/>
        <w:jc w:val="both"/>
        <w:rPr>
          <w:szCs w:val="24"/>
          <w:lang w:eastAsia="en-GB"/>
        </w:rPr>
      </w:pPr>
      <w:r w:rsidRPr="00EE296D">
        <w:rPr>
          <w:sz w:val="24"/>
          <w:szCs w:val="24"/>
          <w:lang w:eastAsia="en-GB"/>
        </w:rPr>
        <w:t>The chart illustrates that in 2012/13 the Authority had more obligations or liabilities than it did assets and therefore held a negative position. From 2013/14 the Authority improved this and maintained reserves as a financial buffer and therefore has been in a better position to manage any unexpected risks</w:t>
      </w:r>
    </w:p>
    <w:p w:rsidR="00C277A2" w:rsidRPr="00C277A2" w:rsidRDefault="00C277A2" w:rsidP="00C277A2">
      <w:pPr>
        <w:pStyle w:val="ListParagraph"/>
        <w:autoSpaceDE w:val="0"/>
        <w:autoSpaceDN w:val="0"/>
        <w:adjustRightInd w:val="0"/>
        <w:spacing w:after="120"/>
        <w:ind w:left="360"/>
        <w:jc w:val="both"/>
        <w:rPr>
          <w:szCs w:val="24"/>
          <w:lang w:eastAsia="en-GB"/>
        </w:rPr>
      </w:pPr>
    </w:p>
    <w:p w:rsidR="00C277A2" w:rsidRDefault="00C277A2" w:rsidP="00C277A2">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In accordance with annual practice, as the out-turn picture is confirmed the Authority is able to consider the level of reserves. In particular, the Authority is able to determine whether there is an opportunity to disburse any excess reserves to boroughs.</w:t>
      </w:r>
    </w:p>
    <w:p w:rsidR="00C277A2" w:rsidRDefault="00C277A2" w:rsidP="00C277A2">
      <w:pPr>
        <w:pStyle w:val="ListParagraph"/>
        <w:autoSpaceDE w:val="0"/>
        <w:autoSpaceDN w:val="0"/>
        <w:adjustRightInd w:val="0"/>
        <w:spacing w:after="120"/>
        <w:ind w:left="360"/>
        <w:jc w:val="both"/>
        <w:rPr>
          <w:sz w:val="24"/>
          <w:szCs w:val="24"/>
          <w:lang w:eastAsia="en-GB"/>
        </w:rPr>
      </w:pPr>
    </w:p>
    <w:p w:rsidR="00C277A2" w:rsidRPr="00B1531B" w:rsidRDefault="00C277A2" w:rsidP="00C277A2">
      <w:pPr>
        <w:pStyle w:val="ListParagraph"/>
        <w:numPr>
          <w:ilvl w:val="0"/>
          <w:numId w:val="30"/>
        </w:numPr>
        <w:autoSpaceDE w:val="0"/>
        <w:autoSpaceDN w:val="0"/>
        <w:adjustRightInd w:val="0"/>
        <w:spacing w:after="120"/>
        <w:jc w:val="both"/>
        <w:rPr>
          <w:sz w:val="24"/>
          <w:szCs w:val="24"/>
          <w:lang w:eastAsia="en-GB"/>
        </w:rPr>
      </w:pPr>
      <w:r w:rsidRPr="002E2551">
        <w:rPr>
          <w:sz w:val="24"/>
          <w:szCs w:val="24"/>
          <w:lang w:eastAsia="en-GB"/>
        </w:rPr>
        <w:t xml:space="preserve">The </w:t>
      </w:r>
      <w:r w:rsidRPr="00B1531B">
        <w:rPr>
          <w:sz w:val="24"/>
          <w:szCs w:val="24"/>
          <w:lang w:eastAsia="en-GB"/>
        </w:rPr>
        <w:t>analysis below shows the end of year positon with reserves and identifies excess reserves totalling £</w:t>
      </w:r>
      <w:r w:rsidR="00B57611" w:rsidRPr="00B1531B">
        <w:rPr>
          <w:sz w:val="24"/>
          <w:szCs w:val="24"/>
          <w:lang w:eastAsia="en-GB"/>
        </w:rPr>
        <w:t>1.</w:t>
      </w:r>
      <w:r w:rsidR="00080E83">
        <w:rPr>
          <w:sz w:val="24"/>
          <w:szCs w:val="24"/>
          <w:lang w:eastAsia="en-GB"/>
        </w:rPr>
        <w:t>9</w:t>
      </w:r>
      <w:r w:rsidRPr="00B1531B">
        <w:rPr>
          <w:sz w:val="24"/>
          <w:szCs w:val="24"/>
          <w:lang w:eastAsia="en-GB"/>
        </w:rPr>
        <w:t xml:space="preserve"> million. </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gridCol w:w="1129"/>
      </w:tblGrid>
      <w:tr w:rsidR="00DA29A2" w:rsidRPr="00B1531B" w:rsidTr="00054D1B">
        <w:tc>
          <w:tcPr>
            <w:tcW w:w="6809" w:type="dxa"/>
          </w:tcPr>
          <w:p w:rsidR="00DA29A2" w:rsidRPr="00B1531B" w:rsidRDefault="00DA29A2" w:rsidP="00E03E1F">
            <w:pPr>
              <w:autoSpaceDE w:val="0"/>
              <w:autoSpaceDN w:val="0"/>
              <w:adjustRightInd w:val="0"/>
              <w:jc w:val="both"/>
              <w:rPr>
                <w:rFonts w:ascii="Arial" w:hAnsi="Arial" w:cs="Arial"/>
                <w:b/>
                <w:szCs w:val="24"/>
                <w:lang w:eastAsia="en-GB"/>
              </w:rPr>
            </w:pPr>
          </w:p>
        </w:tc>
        <w:tc>
          <w:tcPr>
            <w:tcW w:w="1129" w:type="dxa"/>
          </w:tcPr>
          <w:p w:rsidR="00DA29A2" w:rsidRPr="00B1531B" w:rsidRDefault="00DA29A2" w:rsidP="00DA29A2">
            <w:pPr>
              <w:autoSpaceDE w:val="0"/>
              <w:autoSpaceDN w:val="0"/>
              <w:adjustRightInd w:val="0"/>
              <w:jc w:val="right"/>
              <w:rPr>
                <w:rFonts w:ascii="Arial" w:hAnsi="Arial" w:cs="Arial"/>
                <w:b/>
                <w:szCs w:val="24"/>
                <w:lang w:eastAsia="en-GB"/>
              </w:rPr>
            </w:pPr>
            <w:r w:rsidRPr="00B1531B">
              <w:rPr>
                <w:rFonts w:ascii="Arial" w:hAnsi="Arial" w:cs="Arial"/>
                <w:b/>
                <w:szCs w:val="24"/>
                <w:lang w:eastAsia="en-GB"/>
              </w:rPr>
              <w:t>£000s</w:t>
            </w:r>
          </w:p>
        </w:tc>
      </w:tr>
      <w:tr w:rsidR="00DA29A2" w:rsidRPr="00B1531B" w:rsidTr="00054D1B">
        <w:tc>
          <w:tcPr>
            <w:tcW w:w="6809" w:type="dxa"/>
          </w:tcPr>
          <w:p w:rsidR="00DA29A2" w:rsidRPr="00B1531B" w:rsidRDefault="00DA29A2" w:rsidP="00DA29A2">
            <w:pPr>
              <w:autoSpaceDE w:val="0"/>
              <w:autoSpaceDN w:val="0"/>
              <w:adjustRightInd w:val="0"/>
              <w:jc w:val="both"/>
              <w:rPr>
                <w:rFonts w:ascii="Arial" w:hAnsi="Arial" w:cs="Arial"/>
                <w:szCs w:val="24"/>
                <w:lang w:eastAsia="en-GB"/>
              </w:rPr>
            </w:pPr>
            <w:r w:rsidRPr="00B1531B">
              <w:rPr>
                <w:rFonts w:ascii="Arial" w:hAnsi="Arial" w:cs="Arial"/>
                <w:szCs w:val="24"/>
                <w:lang w:eastAsia="en-GB"/>
              </w:rPr>
              <w:t xml:space="preserve">Total reserves </w:t>
            </w:r>
          </w:p>
        </w:tc>
        <w:tc>
          <w:tcPr>
            <w:tcW w:w="1129" w:type="dxa"/>
          </w:tcPr>
          <w:p w:rsidR="00DA29A2" w:rsidRPr="00B1531B" w:rsidRDefault="00DA29A2" w:rsidP="00DA29A2">
            <w:pPr>
              <w:autoSpaceDE w:val="0"/>
              <w:autoSpaceDN w:val="0"/>
              <w:adjustRightInd w:val="0"/>
              <w:jc w:val="right"/>
              <w:rPr>
                <w:rFonts w:ascii="Arial" w:hAnsi="Arial" w:cs="Arial"/>
                <w:szCs w:val="24"/>
                <w:lang w:eastAsia="en-GB"/>
              </w:rPr>
            </w:pPr>
            <w:r w:rsidRPr="00B1531B">
              <w:rPr>
                <w:rFonts w:ascii="Arial" w:hAnsi="Arial" w:cs="Arial"/>
                <w:szCs w:val="24"/>
                <w:lang w:eastAsia="en-GB"/>
              </w:rPr>
              <w:t>18,631</w:t>
            </w:r>
          </w:p>
        </w:tc>
      </w:tr>
      <w:tr w:rsidR="00DA29A2" w:rsidRPr="00B1531B" w:rsidTr="00054D1B">
        <w:tc>
          <w:tcPr>
            <w:tcW w:w="6809" w:type="dxa"/>
          </w:tcPr>
          <w:p w:rsidR="00DA29A2" w:rsidRPr="00B1531B" w:rsidRDefault="00DA29A2" w:rsidP="00E03E1F">
            <w:pPr>
              <w:autoSpaceDE w:val="0"/>
              <w:autoSpaceDN w:val="0"/>
              <w:adjustRightInd w:val="0"/>
              <w:jc w:val="both"/>
              <w:rPr>
                <w:rFonts w:ascii="Arial" w:hAnsi="Arial" w:cs="Arial"/>
                <w:szCs w:val="24"/>
                <w:lang w:eastAsia="en-GB"/>
              </w:rPr>
            </w:pPr>
            <w:r w:rsidRPr="00B1531B">
              <w:rPr>
                <w:rFonts w:ascii="Arial" w:hAnsi="Arial" w:cs="Arial"/>
                <w:szCs w:val="24"/>
                <w:lang w:eastAsia="en-GB"/>
              </w:rPr>
              <w:t>Revaluation reserves</w:t>
            </w:r>
            <w:r w:rsidR="00487A54">
              <w:rPr>
                <w:rFonts w:ascii="Arial" w:hAnsi="Arial" w:cs="Arial"/>
                <w:szCs w:val="24"/>
                <w:lang w:eastAsia="en-GB"/>
              </w:rPr>
              <w:t xml:space="preserve"> (essentially artificial)</w:t>
            </w:r>
          </w:p>
        </w:tc>
        <w:tc>
          <w:tcPr>
            <w:tcW w:w="1129" w:type="dxa"/>
            <w:tcBorders>
              <w:bottom w:val="single" w:sz="4" w:space="0" w:color="auto"/>
            </w:tcBorders>
          </w:tcPr>
          <w:p w:rsidR="00DA29A2" w:rsidRPr="00B1531B" w:rsidRDefault="00DA29A2" w:rsidP="00DA29A2">
            <w:pPr>
              <w:autoSpaceDE w:val="0"/>
              <w:autoSpaceDN w:val="0"/>
              <w:adjustRightInd w:val="0"/>
              <w:jc w:val="right"/>
              <w:rPr>
                <w:rFonts w:ascii="Arial" w:hAnsi="Arial" w:cs="Arial"/>
                <w:szCs w:val="24"/>
                <w:lang w:eastAsia="en-GB"/>
              </w:rPr>
            </w:pPr>
            <w:r w:rsidRPr="00B1531B">
              <w:rPr>
                <w:rFonts w:ascii="Arial" w:hAnsi="Arial" w:cs="Arial"/>
                <w:szCs w:val="24"/>
                <w:lang w:eastAsia="en-GB"/>
              </w:rPr>
              <w:t>(7,768)</w:t>
            </w:r>
          </w:p>
        </w:tc>
      </w:tr>
      <w:tr w:rsidR="00DA29A2" w:rsidRPr="00B1531B" w:rsidTr="00054D1B">
        <w:tc>
          <w:tcPr>
            <w:tcW w:w="6809" w:type="dxa"/>
          </w:tcPr>
          <w:p w:rsidR="00DA29A2" w:rsidRPr="00B1531B" w:rsidRDefault="00DA29A2" w:rsidP="00E03E1F">
            <w:pPr>
              <w:autoSpaceDE w:val="0"/>
              <w:autoSpaceDN w:val="0"/>
              <w:adjustRightInd w:val="0"/>
              <w:jc w:val="both"/>
              <w:rPr>
                <w:rFonts w:ascii="Arial" w:hAnsi="Arial" w:cs="Arial"/>
                <w:szCs w:val="24"/>
                <w:lang w:eastAsia="en-GB"/>
              </w:rPr>
            </w:pPr>
            <w:r w:rsidRPr="00B1531B">
              <w:rPr>
                <w:rFonts w:ascii="Arial" w:hAnsi="Arial" w:cs="Arial"/>
                <w:szCs w:val="24"/>
                <w:lang w:eastAsia="en-GB"/>
              </w:rPr>
              <w:t>Reserves available to manage risks</w:t>
            </w:r>
          </w:p>
        </w:tc>
        <w:tc>
          <w:tcPr>
            <w:tcW w:w="1129" w:type="dxa"/>
            <w:tcBorders>
              <w:top w:val="single" w:sz="4" w:space="0" w:color="auto"/>
            </w:tcBorders>
          </w:tcPr>
          <w:p w:rsidR="00DA29A2" w:rsidRPr="00B1531B" w:rsidRDefault="00334658" w:rsidP="00DA29A2">
            <w:pPr>
              <w:autoSpaceDE w:val="0"/>
              <w:autoSpaceDN w:val="0"/>
              <w:adjustRightInd w:val="0"/>
              <w:jc w:val="right"/>
              <w:rPr>
                <w:rFonts w:ascii="Arial" w:hAnsi="Arial" w:cs="Arial"/>
                <w:b/>
                <w:szCs w:val="24"/>
                <w:lang w:eastAsia="en-GB"/>
              </w:rPr>
            </w:pPr>
            <w:r w:rsidRPr="00B1531B">
              <w:rPr>
                <w:rFonts w:ascii="Arial" w:hAnsi="Arial" w:cs="Arial"/>
                <w:b/>
                <w:szCs w:val="24"/>
                <w:lang w:eastAsia="en-GB"/>
              </w:rPr>
              <w:t>10,863</w:t>
            </w:r>
          </w:p>
        </w:tc>
      </w:tr>
      <w:tr w:rsidR="00DA29A2" w:rsidRPr="00B1531B" w:rsidTr="00054D1B">
        <w:tc>
          <w:tcPr>
            <w:tcW w:w="6809" w:type="dxa"/>
          </w:tcPr>
          <w:p w:rsidR="00DA29A2" w:rsidRPr="00B1531B" w:rsidRDefault="00334658" w:rsidP="00334658">
            <w:pPr>
              <w:autoSpaceDE w:val="0"/>
              <w:autoSpaceDN w:val="0"/>
              <w:adjustRightInd w:val="0"/>
              <w:jc w:val="both"/>
              <w:rPr>
                <w:rFonts w:ascii="Arial" w:hAnsi="Arial" w:cs="Arial"/>
                <w:szCs w:val="24"/>
                <w:lang w:eastAsia="en-GB"/>
              </w:rPr>
            </w:pPr>
            <w:r w:rsidRPr="00B1531B">
              <w:rPr>
                <w:rFonts w:ascii="Arial" w:hAnsi="Arial" w:cs="Arial"/>
                <w:szCs w:val="24"/>
                <w:lang w:eastAsia="en-GB"/>
              </w:rPr>
              <w:t>2019/20 budgeted level of reserves</w:t>
            </w:r>
            <w:r w:rsidR="00054D1B" w:rsidRPr="00B1531B">
              <w:rPr>
                <w:rFonts w:ascii="Arial" w:hAnsi="Arial" w:cs="Arial"/>
                <w:szCs w:val="24"/>
                <w:lang w:eastAsia="en-GB"/>
              </w:rPr>
              <w:t xml:space="preserve"> required</w:t>
            </w:r>
            <w:r w:rsidRPr="00B1531B">
              <w:rPr>
                <w:rFonts w:ascii="Arial" w:hAnsi="Arial" w:cs="Arial"/>
                <w:szCs w:val="24"/>
                <w:lang w:eastAsia="en-GB"/>
              </w:rPr>
              <w:t xml:space="preserve"> to manage risks</w:t>
            </w:r>
          </w:p>
        </w:tc>
        <w:tc>
          <w:tcPr>
            <w:tcW w:w="1129" w:type="dxa"/>
            <w:tcBorders>
              <w:bottom w:val="single" w:sz="4" w:space="0" w:color="auto"/>
            </w:tcBorders>
          </w:tcPr>
          <w:p w:rsidR="00DA29A2" w:rsidRPr="00B1531B" w:rsidRDefault="00334658" w:rsidP="00DA29A2">
            <w:pPr>
              <w:autoSpaceDE w:val="0"/>
              <w:autoSpaceDN w:val="0"/>
              <w:adjustRightInd w:val="0"/>
              <w:jc w:val="right"/>
              <w:rPr>
                <w:rFonts w:ascii="Arial" w:hAnsi="Arial" w:cs="Arial"/>
                <w:szCs w:val="24"/>
                <w:lang w:eastAsia="en-GB"/>
              </w:rPr>
            </w:pPr>
            <w:r w:rsidRPr="00B1531B">
              <w:rPr>
                <w:rFonts w:ascii="Arial" w:hAnsi="Arial" w:cs="Arial"/>
                <w:szCs w:val="24"/>
                <w:lang w:eastAsia="en-GB"/>
              </w:rPr>
              <w:t>(5,900)</w:t>
            </w:r>
          </w:p>
        </w:tc>
      </w:tr>
      <w:tr w:rsidR="00DA29A2" w:rsidRPr="00B1531B" w:rsidTr="00054D1B">
        <w:tc>
          <w:tcPr>
            <w:tcW w:w="6809" w:type="dxa"/>
          </w:tcPr>
          <w:p w:rsidR="00DA29A2" w:rsidRPr="00B1531B" w:rsidRDefault="00334658" w:rsidP="00E03E1F">
            <w:pPr>
              <w:autoSpaceDE w:val="0"/>
              <w:autoSpaceDN w:val="0"/>
              <w:adjustRightInd w:val="0"/>
              <w:jc w:val="both"/>
              <w:rPr>
                <w:rFonts w:ascii="Arial" w:hAnsi="Arial" w:cs="Arial"/>
                <w:szCs w:val="24"/>
                <w:lang w:eastAsia="en-GB"/>
              </w:rPr>
            </w:pPr>
            <w:r w:rsidRPr="00B1531B">
              <w:rPr>
                <w:rFonts w:ascii="Arial" w:hAnsi="Arial" w:cs="Arial"/>
                <w:szCs w:val="24"/>
                <w:lang w:eastAsia="en-GB"/>
              </w:rPr>
              <w:t>Excess reserves</w:t>
            </w:r>
          </w:p>
        </w:tc>
        <w:tc>
          <w:tcPr>
            <w:tcW w:w="1129" w:type="dxa"/>
            <w:tcBorders>
              <w:top w:val="single" w:sz="4" w:space="0" w:color="auto"/>
            </w:tcBorders>
          </w:tcPr>
          <w:p w:rsidR="00DA29A2" w:rsidRPr="00B1531B" w:rsidRDefault="00334658" w:rsidP="00DA29A2">
            <w:pPr>
              <w:autoSpaceDE w:val="0"/>
              <w:autoSpaceDN w:val="0"/>
              <w:adjustRightInd w:val="0"/>
              <w:jc w:val="right"/>
              <w:rPr>
                <w:rFonts w:ascii="Arial" w:hAnsi="Arial" w:cs="Arial"/>
                <w:b/>
                <w:szCs w:val="24"/>
                <w:lang w:eastAsia="en-GB"/>
              </w:rPr>
            </w:pPr>
            <w:r w:rsidRPr="00B1531B">
              <w:rPr>
                <w:rFonts w:ascii="Arial" w:hAnsi="Arial" w:cs="Arial"/>
                <w:b/>
                <w:szCs w:val="24"/>
                <w:lang w:eastAsia="en-GB"/>
              </w:rPr>
              <w:t>4,963</w:t>
            </w:r>
          </w:p>
        </w:tc>
      </w:tr>
      <w:tr w:rsidR="00334658" w:rsidRPr="00B1531B" w:rsidTr="00054D1B">
        <w:tc>
          <w:tcPr>
            <w:tcW w:w="6809" w:type="dxa"/>
          </w:tcPr>
          <w:p w:rsidR="00334658" w:rsidRPr="00B1531B" w:rsidRDefault="00A11664" w:rsidP="00E03E1F">
            <w:pPr>
              <w:autoSpaceDE w:val="0"/>
              <w:autoSpaceDN w:val="0"/>
              <w:adjustRightInd w:val="0"/>
              <w:jc w:val="both"/>
              <w:rPr>
                <w:rFonts w:ascii="Arial" w:hAnsi="Arial" w:cs="Arial"/>
                <w:szCs w:val="24"/>
                <w:lang w:eastAsia="en-GB"/>
              </w:rPr>
            </w:pPr>
            <w:r w:rsidRPr="00B1531B">
              <w:rPr>
                <w:rFonts w:ascii="Arial" w:hAnsi="Arial" w:cs="Arial"/>
                <w:szCs w:val="24"/>
                <w:lang w:eastAsia="en-GB"/>
              </w:rPr>
              <w:t>R</w:t>
            </w:r>
            <w:r w:rsidR="00334658" w:rsidRPr="00B1531B">
              <w:rPr>
                <w:rFonts w:ascii="Arial" w:hAnsi="Arial" w:cs="Arial"/>
                <w:szCs w:val="24"/>
                <w:lang w:eastAsia="en-GB"/>
              </w:rPr>
              <w:t>isks post 2019/20 budget setting</w:t>
            </w:r>
          </w:p>
        </w:tc>
        <w:tc>
          <w:tcPr>
            <w:tcW w:w="1129" w:type="dxa"/>
            <w:tcBorders>
              <w:bottom w:val="single" w:sz="4" w:space="0" w:color="auto"/>
            </w:tcBorders>
          </w:tcPr>
          <w:p w:rsidR="00334658" w:rsidRPr="00B1531B" w:rsidRDefault="00B57611" w:rsidP="00636E7B">
            <w:pPr>
              <w:autoSpaceDE w:val="0"/>
              <w:autoSpaceDN w:val="0"/>
              <w:adjustRightInd w:val="0"/>
              <w:jc w:val="right"/>
              <w:rPr>
                <w:rFonts w:ascii="Arial" w:hAnsi="Arial" w:cs="Arial"/>
                <w:szCs w:val="24"/>
                <w:lang w:eastAsia="en-GB"/>
              </w:rPr>
            </w:pPr>
            <w:r w:rsidRPr="00B1531B">
              <w:rPr>
                <w:rFonts w:ascii="Arial" w:hAnsi="Arial" w:cs="Arial"/>
                <w:szCs w:val="24"/>
                <w:lang w:eastAsia="en-GB"/>
              </w:rPr>
              <w:t>(3</w:t>
            </w:r>
            <w:r w:rsidR="00334658" w:rsidRPr="00B1531B">
              <w:rPr>
                <w:rFonts w:ascii="Arial" w:hAnsi="Arial" w:cs="Arial"/>
                <w:szCs w:val="24"/>
                <w:lang w:eastAsia="en-GB"/>
              </w:rPr>
              <w:t>,</w:t>
            </w:r>
            <w:r w:rsidR="00636E7B">
              <w:rPr>
                <w:rFonts w:ascii="Arial" w:hAnsi="Arial" w:cs="Arial"/>
                <w:szCs w:val="24"/>
                <w:lang w:eastAsia="en-GB"/>
              </w:rPr>
              <w:t>0</w:t>
            </w:r>
            <w:r w:rsidR="00334658" w:rsidRPr="00B1531B">
              <w:rPr>
                <w:rFonts w:ascii="Arial" w:hAnsi="Arial" w:cs="Arial"/>
                <w:szCs w:val="24"/>
                <w:lang w:eastAsia="en-GB"/>
              </w:rPr>
              <w:t>00)</w:t>
            </w:r>
          </w:p>
        </w:tc>
      </w:tr>
      <w:tr w:rsidR="00334658" w:rsidRPr="00B1531B" w:rsidTr="00054D1B">
        <w:tc>
          <w:tcPr>
            <w:tcW w:w="6809" w:type="dxa"/>
          </w:tcPr>
          <w:p w:rsidR="00334658" w:rsidRPr="00B1531B" w:rsidRDefault="00334658" w:rsidP="00E03E1F">
            <w:pPr>
              <w:autoSpaceDE w:val="0"/>
              <w:autoSpaceDN w:val="0"/>
              <w:adjustRightInd w:val="0"/>
              <w:jc w:val="both"/>
              <w:rPr>
                <w:rFonts w:ascii="Arial" w:hAnsi="Arial" w:cs="Arial"/>
                <w:szCs w:val="24"/>
                <w:lang w:eastAsia="en-GB"/>
              </w:rPr>
            </w:pPr>
            <w:r w:rsidRPr="00B1531B">
              <w:rPr>
                <w:rFonts w:ascii="Arial" w:hAnsi="Arial" w:cs="Arial"/>
                <w:szCs w:val="24"/>
                <w:lang w:eastAsia="en-GB"/>
              </w:rPr>
              <w:t>Excess reserves available for distribution</w:t>
            </w:r>
          </w:p>
        </w:tc>
        <w:tc>
          <w:tcPr>
            <w:tcW w:w="1129" w:type="dxa"/>
            <w:tcBorders>
              <w:top w:val="single" w:sz="4" w:space="0" w:color="auto"/>
              <w:bottom w:val="double" w:sz="4" w:space="0" w:color="auto"/>
            </w:tcBorders>
          </w:tcPr>
          <w:p w:rsidR="00334658" w:rsidRPr="00B1531B" w:rsidRDefault="00B57611" w:rsidP="00636E7B">
            <w:pPr>
              <w:autoSpaceDE w:val="0"/>
              <w:autoSpaceDN w:val="0"/>
              <w:adjustRightInd w:val="0"/>
              <w:jc w:val="right"/>
              <w:rPr>
                <w:rFonts w:ascii="Arial" w:hAnsi="Arial" w:cs="Arial"/>
                <w:b/>
                <w:szCs w:val="24"/>
                <w:lang w:eastAsia="en-GB"/>
              </w:rPr>
            </w:pPr>
            <w:r w:rsidRPr="00B1531B">
              <w:rPr>
                <w:rFonts w:ascii="Arial" w:hAnsi="Arial" w:cs="Arial"/>
                <w:b/>
                <w:szCs w:val="24"/>
                <w:lang w:eastAsia="en-GB"/>
              </w:rPr>
              <w:t>1</w:t>
            </w:r>
            <w:r w:rsidR="00A85E69" w:rsidRPr="00B1531B">
              <w:rPr>
                <w:rFonts w:ascii="Arial" w:hAnsi="Arial" w:cs="Arial"/>
                <w:b/>
                <w:szCs w:val="24"/>
                <w:lang w:eastAsia="en-GB"/>
              </w:rPr>
              <w:t>,</w:t>
            </w:r>
            <w:r w:rsidR="00636E7B">
              <w:rPr>
                <w:rFonts w:ascii="Arial" w:hAnsi="Arial" w:cs="Arial"/>
                <w:b/>
                <w:szCs w:val="24"/>
                <w:lang w:eastAsia="en-GB"/>
              </w:rPr>
              <w:t>9</w:t>
            </w:r>
            <w:r w:rsidR="00334658" w:rsidRPr="00B1531B">
              <w:rPr>
                <w:rFonts w:ascii="Arial" w:hAnsi="Arial" w:cs="Arial"/>
                <w:b/>
                <w:szCs w:val="24"/>
                <w:lang w:eastAsia="en-GB"/>
              </w:rPr>
              <w:t>63</w:t>
            </w:r>
          </w:p>
        </w:tc>
      </w:tr>
    </w:tbl>
    <w:p w:rsidR="00DA29A2" w:rsidRPr="00B1531B" w:rsidRDefault="00DA29A2" w:rsidP="00DA29A2">
      <w:pPr>
        <w:pStyle w:val="ListParagraph"/>
        <w:autoSpaceDE w:val="0"/>
        <w:autoSpaceDN w:val="0"/>
        <w:adjustRightInd w:val="0"/>
        <w:spacing w:after="120"/>
        <w:ind w:left="360"/>
        <w:jc w:val="both"/>
        <w:rPr>
          <w:sz w:val="24"/>
          <w:szCs w:val="24"/>
          <w:lang w:eastAsia="en-GB"/>
        </w:rPr>
      </w:pPr>
    </w:p>
    <w:p w:rsidR="00334658" w:rsidRPr="00B1531B" w:rsidRDefault="00A11664" w:rsidP="00DA29A2">
      <w:pPr>
        <w:pStyle w:val="ListParagraph"/>
        <w:autoSpaceDE w:val="0"/>
        <w:autoSpaceDN w:val="0"/>
        <w:adjustRightInd w:val="0"/>
        <w:spacing w:after="120"/>
        <w:ind w:left="360"/>
        <w:jc w:val="both"/>
        <w:rPr>
          <w:sz w:val="24"/>
          <w:szCs w:val="24"/>
          <w:lang w:eastAsia="en-GB"/>
        </w:rPr>
      </w:pPr>
      <w:r w:rsidRPr="00B1531B">
        <w:rPr>
          <w:sz w:val="24"/>
          <w:szCs w:val="24"/>
          <w:lang w:eastAsia="en-GB"/>
        </w:rPr>
        <w:t xml:space="preserve">Risks post 2019/20 budget setting </w:t>
      </w:r>
      <w:r w:rsidR="00715BEF" w:rsidRPr="00B1531B">
        <w:rPr>
          <w:sz w:val="24"/>
          <w:szCs w:val="24"/>
          <w:lang w:eastAsia="en-GB"/>
        </w:rPr>
        <w:t xml:space="preserve">reflect </w:t>
      </w:r>
      <w:r w:rsidR="00497352" w:rsidRPr="00B1531B">
        <w:rPr>
          <w:sz w:val="24"/>
          <w:szCs w:val="24"/>
          <w:lang w:eastAsia="en-GB"/>
        </w:rPr>
        <w:t>progress with business plan objectives around partnership working</w:t>
      </w:r>
      <w:r w:rsidR="00715BEF" w:rsidRPr="00B1531B">
        <w:rPr>
          <w:sz w:val="24"/>
          <w:szCs w:val="24"/>
          <w:lang w:eastAsia="en-GB"/>
        </w:rPr>
        <w:t xml:space="preserve">. In particular the possibility and risk around delivering and/or procuring HRRC, MRF, collection and other services to/for boroughs and </w:t>
      </w:r>
      <w:r w:rsidR="00636E7B">
        <w:rPr>
          <w:sz w:val="24"/>
          <w:szCs w:val="24"/>
          <w:lang w:eastAsia="en-GB"/>
        </w:rPr>
        <w:t xml:space="preserve">more specifically the </w:t>
      </w:r>
      <w:r w:rsidR="00B1531B" w:rsidRPr="00B1531B">
        <w:rPr>
          <w:sz w:val="24"/>
          <w:szCs w:val="24"/>
          <w:lang w:eastAsia="en-GB"/>
        </w:rPr>
        <w:t xml:space="preserve">related </w:t>
      </w:r>
      <w:r w:rsidR="00715BEF" w:rsidRPr="00B1531B">
        <w:rPr>
          <w:sz w:val="24"/>
          <w:szCs w:val="24"/>
          <w:lang w:eastAsia="en-GB"/>
        </w:rPr>
        <w:t>risks around a possible review of the levy setting mechanism.</w:t>
      </w:r>
      <w:r w:rsidR="00497352" w:rsidRPr="00B1531B">
        <w:rPr>
          <w:sz w:val="24"/>
          <w:szCs w:val="24"/>
          <w:lang w:eastAsia="en-GB"/>
        </w:rPr>
        <w:t xml:space="preserve"> </w:t>
      </w:r>
      <w:r w:rsidR="00A85E69" w:rsidRPr="00B1531B">
        <w:rPr>
          <w:sz w:val="24"/>
          <w:szCs w:val="24"/>
          <w:lang w:eastAsia="en-GB"/>
        </w:rPr>
        <w:t>The implications could run into a number of years so i</w:t>
      </w:r>
      <w:r w:rsidR="00497352" w:rsidRPr="00B1531B">
        <w:rPr>
          <w:sz w:val="24"/>
          <w:szCs w:val="24"/>
          <w:lang w:eastAsia="en-GB"/>
        </w:rPr>
        <w:t xml:space="preserve">t is prudent to set aside something </w:t>
      </w:r>
      <w:r w:rsidR="00A85E69" w:rsidRPr="00B1531B">
        <w:rPr>
          <w:sz w:val="24"/>
          <w:szCs w:val="24"/>
          <w:lang w:eastAsia="en-GB"/>
        </w:rPr>
        <w:t xml:space="preserve">now </w:t>
      </w:r>
      <w:r w:rsidR="00497352" w:rsidRPr="00B1531B">
        <w:rPr>
          <w:sz w:val="24"/>
          <w:szCs w:val="24"/>
          <w:lang w:eastAsia="en-GB"/>
        </w:rPr>
        <w:t xml:space="preserve">to smooth the impact going forwards. </w:t>
      </w:r>
      <w:r w:rsidR="00A85E69" w:rsidRPr="00B1531B">
        <w:rPr>
          <w:sz w:val="24"/>
          <w:szCs w:val="24"/>
          <w:lang w:eastAsia="en-GB"/>
        </w:rPr>
        <w:t>£</w:t>
      </w:r>
      <w:r w:rsidR="00636E7B">
        <w:rPr>
          <w:sz w:val="24"/>
          <w:szCs w:val="24"/>
          <w:lang w:eastAsia="en-GB"/>
        </w:rPr>
        <w:t>3</w:t>
      </w:r>
      <w:r w:rsidR="00B57611" w:rsidRPr="00B1531B">
        <w:rPr>
          <w:sz w:val="24"/>
          <w:szCs w:val="24"/>
          <w:lang w:eastAsia="en-GB"/>
        </w:rPr>
        <w:t>.</w:t>
      </w:r>
      <w:r w:rsidR="00636E7B">
        <w:rPr>
          <w:sz w:val="24"/>
          <w:szCs w:val="24"/>
          <w:lang w:eastAsia="en-GB"/>
        </w:rPr>
        <w:t>0</w:t>
      </w:r>
      <w:r w:rsidR="00A85E69" w:rsidRPr="00B1531B">
        <w:rPr>
          <w:sz w:val="24"/>
          <w:szCs w:val="24"/>
          <w:lang w:eastAsia="en-GB"/>
        </w:rPr>
        <w:t xml:space="preserve"> million is based</w:t>
      </w:r>
      <w:r w:rsidR="00636E7B">
        <w:rPr>
          <w:sz w:val="24"/>
          <w:szCs w:val="24"/>
          <w:lang w:eastAsia="en-GB"/>
        </w:rPr>
        <w:t xml:space="preserve"> on £100,000 per borough over 5</w:t>
      </w:r>
      <w:r w:rsidR="00A85E69" w:rsidRPr="00B1531B">
        <w:rPr>
          <w:sz w:val="24"/>
          <w:szCs w:val="24"/>
          <w:lang w:eastAsia="en-GB"/>
        </w:rPr>
        <w:t xml:space="preserve"> years.</w:t>
      </w:r>
    </w:p>
    <w:p w:rsidR="00C277A2" w:rsidRPr="00B1531B" w:rsidRDefault="00C277A2" w:rsidP="00C277A2">
      <w:pPr>
        <w:pStyle w:val="ListParagraph"/>
        <w:autoSpaceDE w:val="0"/>
        <w:autoSpaceDN w:val="0"/>
        <w:adjustRightInd w:val="0"/>
        <w:spacing w:after="120"/>
        <w:ind w:left="360"/>
        <w:jc w:val="both"/>
        <w:rPr>
          <w:sz w:val="24"/>
          <w:szCs w:val="24"/>
          <w:lang w:eastAsia="en-GB"/>
        </w:rPr>
      </w:pPr>
    </w:p>
    <w:p w:rsidR="00C277A2" w:rsidRPr="00636E7B" w:rsidRDefault="0088452D" w:rsidP="00C277A2">
      <w:pPr>
        <w:pStyle w:val="ListParagraph"/>
        <w:numPr>
          <w:ilvl w:val="0"/>
          <w:numId w:val="30"/>
        </w:numPr>
        <w:autoSpaceDE w:val="0"/>
        <w:autoSpaceDN w:val="0"/>
        <w:adjustRightInd w:val="0"/>
        <w:spacing w:after="120"/>
        <w:jc w:val="both"/>
        <w:rPr>
          <w:szCs w:val="24"/>
          <w:lang w:eastAsia="en-GB"/>
        </w:rPr>
      </w:pPr>
      <w:r w:rsidRPr="00B1531B">
        <w:rPr>
          <w:sz w:val="24"/>
          <w:szCs w:val="24"/>
          <w:lang w:eastAsia="en-GB"/>
        </w:rPr>
        <w:t xml:space="preserve">It </w:t>
      </w:r>
      <w:r w:rsidR="00876C63">
        <w:rPr>
          <w:sz w:val="24"/>
          <w:szCs w:val="24"/>
          <w:lang w:eastAsia="en-GB"/>
        </w:rPr>
        <w:t xml:space="preserve">is </w:t>
      </w:r>
      <w:r w:rsidRPr="00B1531B">
        <w:rPr>
          <w:sz w:val="24"/>
          <w:szCs w:val="24"/>
          <w:lang w:eastAsia="en-GB"/>
        </w:rPr>
        <w:t xml:space="preserve">recommended that </w:t>
      </w:r>
      <w:r w:rsidR="00C277A2" w:rsidRPr="00B1531B">
        <w:rPr>
          <w:sz w:val="24"/>
          <w:szCs w:val="24"/>
          <w:lang w:eastAsia="en-GB"/>
        </w:rPr>
        <w:t>the excess reserves of £</w:t>
      </w:r>
      <w:r w:rsidR="00B57611" w:rsidRPr="00B1531B">
        <w:rPr>
          <w:sz w:val="24"/>
          <w:szCs w:val="24"/>
          <w:lang w:eastAsia="en-GB"/>
        </w:rPr>
        <w:t>1.</w:t>
      </w:r>
      <w:r w:rsidR="00636E7B">
        <w:rPr>
          <w:sz w:val="24"/>
          <w:szCs w:val="24"/>
          <w:lang w:eastAsia="en-GB"/>
        </w:rPr>
        <w:t>9</w:t>
      </w:r>
      <w:r w:rsidR="00C277A2">
        <w:rPr>
          <w:sz w:val="24"/>
          <w:szCs w:val="24"/>
          <w:lang w:eastAsia="en-GB"/>
        </w:rPr>
        <w:t xml:space="preserve"> million </w:t>
      </w:r>
      <w:r w:rsidR="00C277A2" w:rsidRPr="002E2551">
        <w:rPr>
          <w:sz w:val="24"/>
          <w:szCs w:val="24"/>
          <w:lang w:eastAsia="en-GB"/>
        </w:rPr>
        <w:t xml:space="preserve">is apportioned </w:t>
      </w:r>
      <w:r w:rsidR="00C277A2">
        <w:rPr>
          <w:sz w:val="24"/>
          <w:szCs w:val="24"/>
          <w:lang w:eastAsia="en-GB"/>
        </w:rPr>
        <w:t xml:space="preserve">as in previous years </w:t>
      </w:r>
      <w:r w:rsidR="00C277A2" w:rsidRPr="002E2551">
        <w:rPr>
          <w:sz w:val="24"/>
          <w:szCs w:val="24"/>
          <w:lang w:eastAsia="en-GB"/>
        </w:rPr>
        <w:t xml:space="preserve">in line with the way boroughs were charged the fixed cost levy </w:t>
      </w:r>
      <w:r w:rsidR="00C277A2">
        <w:rPr>
          <w:sz w:val="24"/>
          <w:szCs w:val="24"/>
          <w:lang w:eastAsia="en-GB"/>
        </w:rPr>
        <w:t xml:space="preserve">(i.e. </w:t>
      </w:r>
      <w:r w:rsidR="00C277A2" w:rsidRPr="002E2551">
        <w:rPr>
          <w:sz w:val="24"/>
          <w:szCs w:val="24"/>
          <w:lang w:eastAsia="en-GB"/>
        </w:rPr>
        <w:t>council tax base)</w:t>
      </w:r>
      <w:r w:rsidR="00C277A2">
        <w:rPr>
          <w:sz w:val="24"/>
          <w:szCs w:val="24"/>
          <w:lang w:eastAsia="en-GB"/>
        </w:rPr>
        <w:t>.</w:t>
      </w:r>
      <w:r w:rsidR="00C277A2" w:rsidRPr="002E2551">
        <w:rPr>
          <w:sz w:val="24"/>
          <w:szCs w:val="24"/>
          <w:lang w:eastAsia="en-GB"/>
        </w:rPr>
        <w:t xml:space="preserve"> </w:t>
      </w:r>
      <w:r w:rsidR="00C277A2">
        <w:rPr>
          <w:sz w:val="24"/>
          <w:szCs w:val="24"/>
          <w:lang w:eastAsia="en-GB"/>
        </w:rPr>
        <w:t>The disbursement to boroughs in July will be as follows:</w:t>
      </w:r>
    </w:p>
    <w:p w:rsidR="00636E7B" w:rsidRPr="007354AA" w:rsidRDefault="00636E7B" w:rsidP="00636E7B">
      <w:pPr>
        <w:pStyle w:val="ListParagraph"/>
        <w:autoSpaceDE w:val="0"/>
        <w:autoSpaceDN w:val="0"/>
        <w:adjustRightInd w:val="0"/>
        <w:spacing w:after="120"/>
        <w:ind w:left="360"/>
        <w:jc w:val="both"/>
        <w:rPr>
          <w:szCs w:val="24"/>
          <w:lang w:eastAsia="en-GB"/>
        </w:rPr>
      </w:pPr>
    </w:p>
    <w:tbl>
      <w:tblPr>
        <w:tblStyle w:val="TableGrid"/>
        <w:tblW w:w="0" w:type="auto"/>
        <w:tblInd w:w="2689" w:type="dxa"/>
        <w:tblLook w:val="04A0" w:firstRow="1" w:lastRow="0" w:firstColumn="1" w:lastColumn="0" w:noHBand="0" w:noVBand="1"/>
      </w:tblPr>
      <w:tblGrid>
        <w:gridCol w:w="2408"/>
        <w:gridCol w:w="3120"/>
      </w:tblGrid>
      <w:tr w:rsidR="00C277A2" w:rsidRPr="00B35869" w:rsidTr="00B35869">
        <w:tc>
          <w:tcPr>
            <w:tcW w:w="2408" w:type="dxa"/>
          </w:tcPr>
          <w:p w:rsidR="00C277A2" w:rsidRPr="00B35869" w:rsidRDefault="00C277A2" w:rsidP="00B35869">
            <w:pPr>
              <w:autoSpaceDE w:val="0"/>
              <w:autoSpaceDN w:val="0"/>
              <w:adjustRightInd w:val="0"/>
              <w:rPr>
                <w:rFonts w:ascii="Arial" w:hAnsi="Arial" w:cs="Arial"/>
                <w:b/>
                <w:szCs w:val="24"/>
                <w:lang w:eastAsia="en-GB"/>
              </w:rPr>
            </w:pPr>
            <w:r w:rsidRPr="00B35869">
              <w:rPr>
                <w:rFonts w:ascii="Arial" w:hAnsi="Arial" w:cs="Arial"/>
                <w:b/>
                <w:szCs w:val="24"/>
                <w:lang w:eastAsia="en-GB"/>
              </w:rPr>
              <w:lastRenderedPageBreak/>
              <w:t>Borough</w:t>
            </w:r>
          </w:p>
        </w:tc>
        <w:tc>
          <w:tcPr>
            <w:tcW w:w="3120" w:type="dxa"/>
          </w:tcPr>
          <w:p w:rsidR="00C277A2" w:rsidRPr="00B35869" w:rsidRDefault="00C277A2" w:rsidP="00B35869">
            <w:pPr>
              <w:autoSpaceDE w:val="0"/>
              <w:autoSpaceDN w:val="0"/>
              <w:adjustRightInd w:val="0"/>
              <w:jc w:val="center"/>
              <w:rPr>
                <w:rFonts w:ascii="Arial" w:hAnsi="Arial" w:cs="Arial"/>
                <w:b/>
                <w:szCs w:val="24"/>
                <w:lang w:eastAsia="en-GB"/>
              </w:rPr>
            </w:pPr>
            <w:r w:rsidRPr="00B35869">
              <w:rPr>
                <w:rFonts w:ascii="Arial" w:hAnsi="Arial" w:cs="Arial"/>
                <w:b/>
                <w:szCs w:val="24"/>
                <w:lang w:eastAsia="en-GB"/>
              </w:rPr>
              <w:t>Payment to borough</w:t>
            </w:r>
          </w:p>
        </w:tc>
      </w:tr>
      <w:tr w:rsidR="00C277A2" w:rsidRPr="007354AA" w:rsidTr="00B35869">
        <w:tc>
          <w:tcPr>
            <w:tcW w:w="2408" w:type="dxa"/>
          </w:tcPr>
          <w:p w:rsidR="00C277A2" w:rsidRPr="007354AA" w:rsidRDefault="00C277A2" w:rsidP="00B35869">
            <w:pPr>
              <w:autoSpaceDE w:val="0"/>
              <w:autoSpaceDN w:val="0"/>
              <w:adjustRightInd w:val="0"/>
              <w:rPr>
                <w:rFonts w:ascii="Arial" w:hAnsi="Arial" w:cs="Arial"/>
                <w:szCs w:val="24"/>
                <w:lang w:eastAsia="en-GB"/>
              </w:rPr>
            </w:pPr>
            <w:r>
              <w:rPr>
                <w:rFonts w:ascii="Arial" w:hAnsi="Arial" w:cs="Arial"/>
                <w:szCs w:val="24"/>
                <w:lang w:eastAsia="en-GB"/>
              </w:rPr>
              <w:t>Brent</w:t>
            </w:r>
          </w:p>
        </w:tc>
        <w:tc>
          <w:tcPr>
            <w:tcW w:w="3120" w:type="dxa"/>
          </w:tcPr>
          <w:p w:rsidR="00C277A2" w:rsidRPr="007354AA" w:rsidRDefault="00636E7B" w:rsidP="00636E7B">
            <w:pPr>
              <w:autoSpaceDE w:val="0"/>
              <w:autoSpaceDN w:val="0"/>
              <w:adjustRightInd w:val="0"/>
              <w:jc w:val="center"/>
              <w:rPr>
                <w:rFonts w:ascii="Arial" w:hAnsi="Arial" w:cs="Arial"/>
                <w:szCs w:val="24"/>
                <w:lang w:eastAsia="en-GB"/>
              </w:rPr>
            </w:pPr>
            <w:r>
              <w:rPr>
                <w:rFonts w:ascii="Arial" w:hAnsi="Arial" w:cs="Arial"/>
                <w:szCs w:val="24"/>
                <w:lang w:eastAsia="en-GB"/>
              </w:rPr>
              <w:t>311,000</w:t>
            </w:r>
          </w:p>
        </w:tc>
      </w:tr>
      <w:tr w:rsidR="00C277A2" w:rsidRPr="007354AA" w:rsidTr="00B35869">
        <w:tc>
          <w:tcPr>
            <w:tcW w:w="2408" w:type="dxa"/>
          </w:tcPr>
          <w:p w:rsidR="00C277A2" w:rsidRPr="007354AA" w:rsidRDefault="00C277A2" w:rsidP="00B35869">
            <w:pPr>
              <w:autoSpaceDE w:val="0"/>
              <w:autoSpaceDN w:val="0"/>
              <w:adjustRightInd w:val="0"/>
              <w:rPr>
                <w:rFonts w:ascii="Arial" w:hAnsi="Arial" w:cs="Arial"/>
                <w:szCs w:val="24"/>
                <w:lang w:eastAsia="en-GB"/>
              </w:rPr>
            </w:pPr>
            <w:r>
              <w:rPr>
                <w:rFonts w:ascii="Arial" w:hAnsi="Arial" w:cs="Arial"/>
                <w:szCs w:val="24"/>
                <w:lang w:eastAsia="en-GB"/>
              </w:rPr>
              <w:t>Ealing</w:t>
            </w:r>
          </w:p>
        </w:tc>
        <w:tc>
          <w:tcPr>
            <w:tcW w:w="3120" w:type="dxa"/>
          </w:tcPr>
          <w:p w:rsidR="00C277A2" w:rsidRPr="007354AA" w:rsidRDefault="00636E7B" w:rsidP="00636E7B">
            <w:pPr>
              <w:autoSpaceDE w:val="0"/>
              <w:autoSpaceDN w:val="0"/>
              <w:adjustRightInd w:val="0"/>
              <w:jc w:val="center"/>
              <w:rPr>
                <w:rFonts w:ascii="Arial" w:hAnsi="Arial" w:cs="Arial"/>
                <w:szCs w:val="24"/>
                <w:lang w:eastAsia="en-GB"/>
              </w:rPr>
            </w:pPr>
            <w:r>
              <w:rPr>
                <w:rFonts w:ascii="Arial" w:hAnsi="Arial" w:cs="Arial"/>
                <w:szCs w:val="24"/>
                <w:lang w:eastAsia="en-GB"/>
              </w:rPr>
              <w:t>385,950</w:t>
            </w:r>
          </w:p>
        </w:tc>
      </w:tr>
      <w:tr w:rsidR="00C277A2" w:rsidRPr="007354AA" w:rsidTr="00B35869">
        <w:tc>
          <w:tcPr>
            <w:tcW w:w="2408" w:type="dxa"/>
          </w:tcPr>
          <w:p w:rsidR="00C277A2" w:rsidRPr="007354AA" w:rsidRDefault="00C277A2" w:rsidP="00B35869">
            <w:pPr>
              <w:autoSpaceDE w:val="0"/>
              <w:autoSpaceDN w:val="0"/>
              <w:adjustRightInd w:val="0"/>
              <w:rPr>
                <w:rFonts w:ascii="Arial" w:hAnsi="Arial" w:cs="Arial"/>
                <w:szCs w:val="24"/>
                <w:lang w:eastAsia="en-GB"/>
              </w:rPr>
            </w:pPr>
            <w:r>
              <w:rPr>
                <w:rFonts w:ascii="Arial" w:hAnsi="Arial" w:cs="Arial"/>
                <w:szCs w:val="24"/>
                <w:lang w:eastAsia="en-GB"/>
              </w:rPr>
              <w:t>Harrow</w:t>
            </w:r>
          </w:p>
        </w:tc>
        <w:tc>
          <w:tcPr>
            <w:tcW w:w="3120" w:type="dxa"/>
          </w:tcPr>
          <w:p w:rsidR="00C277A2" w:rsidRPr="007354AA" w:rsidRDefault="00B57611" w:rsidP="00B35869">
            <w:pPr>
              <w:autoSpaceDE w:val="0"/>
              <w:autoSpaceDN w:val="0"/>
              <w:adjustRightInd w:val="0"/>
              <w:jc w:val="center"/>
              <w:rPr>
                <w:rFonts w:ascii="Arial" w:hAnsi="Arial" w:cs="Arial"/>
                <w:szCs w:val="24"/>
                <w:lang w:eastAsia="en-GB"/>
              </w:rPr>
            </w:pPr>
            <w:r>
              <w:rPr>
                <w:rFonts w:ascii="Arial" w:hAnsi="Arial" w:cs="Arial"/>
                <w:szCs w:val="24"/>
                <w:lang w:eastAsia="en-GB"/>
              </w:rPr>
              <w:t>2</w:t>
            </w:r>
            <w:r w:rsidR="00636E7B">
              <w:rPr>
                <w:rFonts w:ascii="Arial" w:hAnsi="Arial" w:cs="Arial"/>
                <w:szCs w:val="24"/>
                <w:lang w:eastAsia="en-GB"/>
              </w:rPr>
              <w:t>88,962</w:t>
            </w:r>
          </w:p>
        </w:tc>
      </w:tr>
      <w:tr w:rsidR="00C277A2" w:rsidRPr="007354AA" w:rsidTr="00B35869">
        <w:tc>
          <w:tcPr>
            <w:tcW w:w="2408" w:type="dxa"/>
          </w:tcPr>
          <w:p w:rsidR="00C277A2" w:rsidRPr="007354AA" w:rsidRDefault="00C277A2" w:rsidP="00B35869">
            <w:pPr>
              <w:autoSpaceDE w:val="0"/>
              <w:autoSpaceDN w:val="0"/>
              <w:adjustRightInd w:val="0"/>
              <w:rPr>
                <w:rFonts w:ascii="Arial" w:hAnsi="Arial" w:cs="Arial"/>
                <w:szCs w:val="24"/>
                <w:lang w:eastAsia="en-GB"/>
              </w:rPr>
            </w:pPr>
            <w:r>
              <w:rPr>
                <w:rFonts w:ascii="Arial" w:hAnsi="Arial" w:cs="Arial"/>
                <w:szCs w:val="24"/>
                <w:lang w:eastAsia="en-GB"/>
              </w:rPr>
              <w:t>Hillingdon</w:t>
            </w:r>
          </w:p>
        </w:tc>
        <w:tc>
          <w:tcPr>
            <w:tcW w:w="3120" w:type="dxa"/>
          </w:tcPr>
          <w:p w:rsidR="00C277A2" w:rsidRPr="007354AA" w:rsidRDefault="00636E7B" w:rsidP="00B35869">
            <w:pPr>
              <w:autoSpaceDE w:val="0"/>
              <w:autoSpaceDN w:val="0"/>
              <w:adjustRightInd w:val="0"/>
              <w:jc w:val="center"/>
              <w:rPr>
                <w:rFonts w:ascii="Arial" w:hAnsi="Arial" w:cs="Arial"/>
                <w:szCs w:val="24"/>
                <w:lang w:eastAsia="en-GB"/>
              </w:rPr>
            </w:pPr>
            <w:r>
              <w:rPr>
                <w:rFonts w:ascii="Arial" w:hAnsi="Arial" w:cs="Arial"/>
                <w:szCs w:val="24"/>
                <w:lang w:eastAsia="en-GB"/>
              </w:rPr>
              <w:t>330,095</w:t>
            </w:r>
          </w:p>
        </w:tc>
      </w:tr>
      <w:tr w:rsidR="00C277A2" w:rsidRPr="007354AA" w:rsidTr="00B35869">
        <w:tc>
          <w:tcPr>
            <w:tcW w:w="2408" w:type="dxa"/>
          </w:tcPr>
          <w:p w:rsidR="00C277A2" w:rsidRPr="007354AA" w:rsidRDefault="00C277A2" w:rsidP="00B35869">
            <w:pPr>
              <w:autoSpaceDE w:val="0"/>
              <w:autoSpaceDN w:val="0"/>
              <w:adjustRightInd w:val="0"/>
              <w:rPr>
                <w:rFonts w:ascii="Arial" w:hAnsi="Arial" w:cs="Arial"/>
                <w:szCs w:val="24"/>
                <w:lang w:eastAsia="en-GB"/>
              </w:rPr>
            </w:pPr>
            <w:r>
              <w:rPr>
                <w:rFonts w:ascii="Arial" w:hAnsi="Arial" w:cs="Arial"/>
                <w:szCs w:val="24"/>
                <w:lang w:eastAsia="en-GB"/>
              </w:rPr>
              <w:t>Hounslow</w:t>
            </w:r>
          </w:p>
        </w:tc>
        <w:tc>
          <w:tcPr>
            <w:tcW w:w="3120" w:type="dxa"/>
          </w:tcPr>
          <w:p w:rsidR="00C277A2" w:rsidRPr="007354AA" w:rsidRDefault="00B57611" w:rsidP="00B35869">
            <w:pPr>
              <w:autoSpaceDE w:val="0"/>
              <w:autoSpaceDN w:val="0"/>
              <w:adjustRightInd w:val="0"/>
              <w:jc w:val="center"/>
              <w:rPr>
                <w:rFonts w:ascii="Arial" w:hAnsi="Arial" w:cs="Arial"/>
                <w:szCs w:val="24"/>
                <w:lang w:eastAsia="en-GB"/>
              </w:rPr>
            </w:pPr>
            <w:r>
              <w:rPr>
                <w:rFonts w:ascii="Arial" w:hAnsi="Arial" w:cs="Arial"/>
                <w:szCs w:val="24"/>
                <w:lang w:eastAsia="en-GB"/>
              </w:rPr>
              <w:t>2</w:t>
            </w:r>
            <w:r w:rsidR="00636E7B">
              <w:rPr>
                <w:rFonts w:ascii="Arial" w:hAnsi="Arial" w:cs="Arial"/>
                <w:szCs w:val="24"/>
                <w:lang w:eastAsia="en-GB"/>
              </w:rPr>
              <w:t>86,580</w:t>
            </w:r>
          </w:p>
        </w:tc>
      </w:tr>
      <w:tr w:rsidR="00C277A2" w:rsidRPr="007354AA" w:rsidTr="00B35869">
        <w:tc>
          <w:tcPr>
            <w:tcW w:w="2408" w:type="dxa"/>
          </w:tcPr>
          <w:p w:rsidR="00C277A2" w:rsidRPr="007354AA" w:rsidRDefault="00C277A2" w:rsidP="00B35869">
            <w:pPr>
              <w:autoSpaceDE w:val="0"/>
              <w:autoSpaceDN w:val="0"/>
              <w:adjustRightInd w:val="0"/>
              <w:rPr>
                <w:rFonts w:ascii="Arial" w:hAnsi="Arial" w:cs="Arial"/>
                <w:szCs w:val="24"/>
                <w:lang w:eastAsia="en-GB"/>
              </w:rPr>
            </w:pPr>
            <w:r>
              <w:rPr>
                <w:rFonts w:ascii="Arial" w:hAnsi="Arial" w:cs="Arial"/>
                <w:szCs w:val="24"/>
                <w:lang w:eastAsia="en-GB"/>
              </w:rPr>
              <w:t>Richmond</w:t>
            </w:r>
          </w:p>
        </w:tc>
        <w:tc>
          <w:tcPr>
            <w:tcW w:w="3120" w:type="dxa"/>
          </w:tcPr>
          <w:p w:rsidR="00C277A2" w:rsidRPr="007354AA" w:rsidRDefault="00B57611" w:rsidP="00B35869">
            <w:pPr>
              <w:autoSpaceDE w:val="0"/>
              <w:autoSpaceDN w:val="0"/>
              <w:adjustRightInd w:val="0"/>
              <w:jc w:val="center"/>
              <w:rPr>
                <w:rFonts w:ascii="Arial" w:hAnsi="Arial" w:cs="Arial"/>
                <w:szCs w:val="24"/>
                <w:lang w:eastAsia="en-GB"/>
              </w:rPr>
            </w:pPr>
            <w:r>
              <w:rPr>
                <w:rFonts w:ascii="Arial" w:hAnsi="Arial" w:cs="Arial"/>
                <w:szCs w:val="24"/>
                <w:lang w:eastAsia="en-GB"/>
              </w:rPr>
              <w:t>2</w:t>
            </w:r>
            <w:r w:rsidR="00636E7B">
              <w:rPr>
                <w:rFonts w:ascii="Arial" w:hAnsi="Arial" w:cs="Arial"/>
                <w:szCs w:val="24"/>
                <w:lang w:eastAsia="en-GB"/>
              </w:rPr>
              <w:t>97,413</w:t>
            </w:r>
          </w:p>
        </w:tc>
      </w:tr>
      <w:tr w:rsidR="00C277A2" w:rsidRPr="00B35869" w:rsidTr="00B35869">
        <w:tc>
          <w:tcPr>
            <w:tcW w:w="2408" w:type="dxa"/>
          </w:tcPr>
          <w:p w:rsidR="00C277A2" w:rsidRPr="00B35869" w:rsidRDefault="00C277A2" w:rsidP="00B35869">
            <w:pPr>
              <w:autoSpaceDE w:val="0"/>
              <w:autoSpaceDN w:val="0"/>
              <w:adjustRightInd w:val="0"/>
              <w:rPr>
                <w:rFonts w:ascii="Arial" w:hAnsi="Arial" w:cs="Arial"/>
                <w:b/>
                <w:szCs w:val="24"/>
                <w:lang w:eastAsia="en-GB"/>
              </w:rPr>
            </w:pPr>
            <w:r w:rsidRPr="00B35869">
              <w:rPr>
                <w:rFonts w:ascii="Arial" w:hAnsi="Arial" w:cs="Arial"/>
                <w:b/>
                <w:szCs w:val="24"/>
                <w:lang w:eastAsia="en-GB"/>
              </w:rPr>
              <w:t>Total</w:t>
            </w:r>
          </w:p>
        </w:tc>
        <w:tc>
          <w:tcPr>
            <w:tcW w:w="3120" w:type="dxa"/>
          </w:tcPr>
          <w:p w:rsidR="00C277A2" w:rsidRPr="00B35869" w:rsidRDefault="00B57611" w:rsidP="00636E7B">
            <w:pPr>
              <w:autoSpaceDE w:val="0"/>
              <w:autoSpaceDN w:val="0"/>
              <w:adjustRightInd w:val="0"/>
              <w:jc w:val="center"/>
              <w:rPr>
                <w:rFonts w:ascii="Arial" w:hAnsi="Arial" w:cs="Arial"/>
                <w:b/>
                <w:szCs w:val="24"/>
                <w:lang w:eastAsia="en-GB"/>
              </w:rPr>
            </w:pPr>
            <w:r>
              <w:rPr>
                <w:rFonts w:ascii="Arial" w:hAnsi="Arial" w:cs="Arial"/>
                <w:b/>
                <w:szCs w:val="24"/>
                <w:lang w:eastAsia="en-GB"/>
              </w:rPr>
              <w:t>1</w:t>
            </w:r>
            <w:r w:rsidR="00B35869" w:rsidRPr="00B35869">
              <w:rPr>
                <w:rFonts w:ascii="Arial" w:hAnsi="Arial" w:cs="Arial"/>
                <w:b/>
                <w:szCs w:val="24"/>
                <w:lang w:eastAsia="en-GB"/>
              </w:rPr>
              <w:t>,</w:t>
            </w:r>
            <w:r w:rsidR="00636E7B">
              <w:rPr>
                <w:rFonts w:ascii="Arial" w:hAnsi="Arial" w:cs="Arial"/>
                <w:b/>
                <w:szCs w:val="24"/>
                <w:lang w:eastAsia="en-GB"/>
              </w:rPr>
              <w:t>9</w:t>
            </w:r>
            <w:r w:rsidR="00B35869" w:rsidRPr="00B35869">
              <w:rPr>
                <w:rFonts w:ascii="Arial" w:hAnsi="Arial" w:cs="Arial"/>
                <w:b/>
                <w:szCs w:val="24"/>
                <w:lang w:eastAsia="en-GB"/>
              </w:rPr>
              <w:t>00,000</w:t>
            </w:r>
          </w:p>
        </w:tc>
      </w:tr>
    </w:tbl>
    <w:p w:rsidR="005C1D41" w:rsidRDefault="005C1D41" w:rsidP="005C1D41">
      <w:pPr>
        <w:pStyle w:val="ListParagraph"/>
        <w:autoSpaceDE w:val="0"/>
        <w:autoSpaceDN w:val="0"/>
        <w:adjustRightInd w:val="0"/>
        <w:spacing w:after="120"/>
        <w:ind w:left="360"/>
        <w:jc w:val="both"/>
        <w:rPr>
          <w:sz w:val="24"/>
          <w:szCs w:val="24"/>
          <w:lang w:eastAsia="en-GB"/>
        </w:rPr>
      </w:pPr>
    </w:p>
    <w:p w:rsidR="00DE5B53" w:rsidRPr="002E2551" w:rsidRDefault="00DE5B53" w:rsidP="00DE5B53">
      <w:pPr>
        <w:autoSpaceDE w:val="0"/>
        <w:autoSpaceDN w:val="0"/>
        <w:adjustRightInd w:val="0"/>
        <w:spacing w:after="120"/>
        <w:jc w:val="both"/>
        <w:rPr>
          <w:rFonts w:ascii="Arial" w:eastAsia="Calibri" w:hAnsi="Arial" w:cs="Arial"/>
          <w:b/>
          <w:szCs w:val="24"/>
          <w:lang w:val="en-US"/>
        </w:rPr>
      </w:pPr>
      <w:r w:rsidRPr="002E2551">
        <w:rPr>
          <w:rFonts w:ascii="Arial" w:eastAsia="Calibri" w:hAnsi="Arial" w:cs="Arial"/>
          <w:b/>
          <w:szCs w:val="24"/>
          <w:lang w:val="en-US"/>
        </w:rPr>
        <w:t>Year-end valuations</w:t>
      </w:r>
    </w:p>
    <w:p w:rsidR="00E62206" w:rsidRPr="007C0AAC" w:rsidRDefault="00E62206" w:rsidP="00E62206">
      <w:pPr>
        <w:pStyle w:val="ListParagraph"/>
        <w:numPr>
          <w:ilvl w:val="0"/>
          <w:numId w:val="30"/>
        </w:numPr>
        <w:autoSpaceDE w:val="0"/>
        <w:autoSpaceDN w:val="0"/>
        <w:adjustRightInd w:val="0"/>
        <w:spacing w:after="120"/>
        <w:jc w:val="both"/>
        <w:rPr>
          <w:sz w:val="24"/>
          <w:szCs w:val="24"/>
          <w:lang w:val="en-US"/>
        </w:rPr>
      </w:pPr>
      <w:r w:rsidRPr="007C0AAC">
        <w:rPr>
          <w:sz w:val="24"/>
          <w:szCs w:val="24"/>
          <w:lang w:val="en-US"/>
        </w:rPr>
        <w:t>The 2018/19 triennial pension valuation by the LPFA’s actuaries showed that the deficit had been reduced from £7.9 million to £7.2 million and that the future contributions will result in 100% funding of the scheme by 2030.</w:t>
      </w:r>
    </w:p>
    <w:p w:rsidR="00E62206" w:rsidRPr="007C0AAC" w:rsidRDefault="00E62206" w:rsidP="00E62206">
      <w:pPr>
        <w:pStyle w:val="ListParagraph"/>
        <w:rPr>
          <w:sz w:val="24"/>
          <w:szCs w:val="24"/>
          <w:lang w:val="en-US"/>
        </w:rPr>
      </w:pPr>
    </w:p>
    <w:p w:rsidR="00E62206" w:rsidRPr="007C0AAC" w:rsidRDefault="00E62206" w:rsidP="00E62206">
      <w:pPr>
        <w:pStyle w:val="ListParagraph"/>
        <w:numPr>
          <w:ilvl w:val="0"/>
          <w:numId w:val="30"/>
        </w:numPr>
        <w:autoSpaceDE w:val="0"/>
        <w:autoSpaceDN w:val="0"/>
        <w:adjustRightInd w:val="0"/>
        <w:spacing w:after="120"/>
        <w:jc w:val="both"/>
        <w:rPr>
          <w:sz w:val="24"/>
          <w:szCs w:val="24"/>
          <w:lang w:val="en-US"/>
        </w:rPr>
      </w:pPr>
      <w:r w:rsidRPr="007C0AAC">
        <w:rPr>
          <w:sz w:val="24"/>
          <w:szCs w:val="24"/>
          <w:lang w:val="en-US"/>
        </w:rPr>
        <w:t xml:space="preserve">The 2018/19 </w:t>
      </w:r>
      <w:proofErr w:type="spellStart"/>
      <w:r w:rsidRPr="007C0AAC">
        <w:rPr>
          <w:sz w:val="24"/>
          <w:szCs w:val="24"/>
          <w:lang w:val="en-US"/>
        </w:rPr>
        <w:t>quintennial</w:t>
      </w:r>
      <w:proofErr w:type="spellEnd"/>
      <w:r w:rsidRPr="007C0AAC">
        <w:rPr>
          <w:sz w:val="24"/>
          <w:szCs w:val="24"/>
          <w:lang w:val="en-US"/>
        </w:rPr>
        <w:t xml:space="preserve"> property valuation resulted in a range of movements in property value with an overall adjustment of £0.2 million reduction in value charged to the income and expenditure account. In the balance sheet some of the previous years’ valuation gains were also reversed.</w:t>
      </w:r>
    </w:p>
    <w:p w:rsidR="00E62206" w:rsidRPr="007C0AAC" w:rsidRDefault="00E62206" w:rsidP="00E62206">
      <w:pPr>
        <w:pStyle w:val="ListParagraph"/>
        <w:rPr>
          <w:sz w:val="24"/>
          <w:szCs w:val="24"/>
          <w:lang w:val="en-US"/>
        </w:rPr>
      </w:pPr>
    </w:p>
    <w:p w:rsidR="00B1531B" w:rsidRDefault="00E62206" w:rsidP="00E62206">
      <w:pPr>
        <w:pStyle w:val="ListParagraph"/>
        <w:numPr>
          <w:ilvl w:val="0"/>
          <w:numId w:val="30"/>
        </w:numPr>
        <w:autoSpaceDE w:val="0"/>
        <w:autoSpaceDN w:val="0"/>
        <w:adjustRightInd w:val="0"/>
        <w:spacing w:after="120"/>
        <w:jc w:val="both"/>
        <w:rPr>
          <w:sz w:val="24"/>
          <w:szCs w:val="24"/>
          <w:lang w:val="en-US"/>
        </w:rPr>
      </w:pPr>
      <w:r w:rsidRPr="007C0AAC">
        <w:rPr>
          <w:sz w:val="24"/>
          <w:szCs w:val="24"/>
          <w:lang w:val="en-US"/>
        </w:rPr>
        <w:t xml:space="preserve">It is important to note that these valuation adjustments (gains and losses) are artificial </w:t>
      </w:r>
      <w:r w:rsidR="00B1531B">
        <w:rPr>
          <w:sz w:val="24"/>
          <w:szCs w:val="24"/>
          <w:lang w:val="en-US"/>
        </w:rPr>
        <w:t xml:space="preserve">and </w:t>
      </w:r>
      <w:r w:rsidRPr="007C0AAC">
        <w:rPr>
          <w:sz w:val="24"/>
          <w:szCs w:val="24"/>
          <w:lang w:val="en-US"/>
        </w:rPr>
        <w:t>they can be very arbitrary. They can depend on the nature of asset</w:t>
      </w:r>
      <w:r w:rsidR="007C0AAC">
        <w:rPr>
          <w:sz w:val="24"/>
          <w:szCs w:val="24"/>
          <w:lang w:val="en-US"/>
        </w:rPr>
        <w:t>,</w:t>
      </w:r>
      <w:r w:rsidRPr="007C0AAC">
        <w:rPr>
          <w:sz w:val="24"/>
          <w:szCs w:val="24"/>
          <w:lang w:val="en-US"/>
        </w:rPr>
        <w:t xml:space="preserve"> the individual </w:t>
      </w:r>
      <w:proofErr w:type="spellStart"/>
      <w:r w:rsidRPr="007C0AAC">
        <w:rPr>
          <w:sz w:val="24"/>
          <w:szCs w:val="24"/>
          <w:lang w:val="en-US"/>
        </w:rPr>
        <w:t>valuers’</w:t>
      </w:r>
      <w:proofErr w:type="spellEnd"/>
      <w:r w:rsidRPr="007C0AAC">
        <w:rPr>
          <w:sz w:val="24"/>
          <w:szCs w:val="24"/>
          <w:lang w:val="en-US"/>
        </w:rPr>
        <w:t xml:space="preserve"> judgement of the valuation </w:t>
      </w:r>
      <w:r w:rsidR="007C0AAC">
        <w:rPr>
          <w:sz w:val="24"/>
          <w:szCs w:val="24"/>
          <w:lang w:val="en-US"/>
        </w:rPr>
        <w:t xml:space="preserve">approach and the </w:t>
      </w:r>
      <w:r w:rsidRPr="007C0AAC">
        <w:rPr>
          <w:sz w:val="24"/>
          <w:szCs w:val="24"/>
          <w:lang w:val="en-US"/>
        </w:rPr>
        <w:t xml:space="preserve">economic and market conditions at a particular snapshot in time. </w:t>
      </w:r>
    </w:p>
    <w:p w:rsidR="00B1531B" w:rsidRPr="00B1531B" w:rsidRDefault="00B1531B" w:rsidP="00B1531B">
      <w:pPr>
        <w:pStyle w:val="ListParagraph"/>
        <w:rPr>
          <w:sz w:val="24"/>
          <w:szCs w:val="24"/>
          <w:lang w:val="en-US"/>
        </w:rPr>
      </w:pPr>
    </w:p>
    <w:p w:rsidR="00E62206" w:rsidRDefault="00E62206" w:rsidP="00E62206">
      <w:pPr>
        <w:pStyle w:val="ListParagraph"/>
        <w:numPr>
          <w:ilvl w:val="0"/>
          <w:numId w:val="30"/>
        </w:numPr>
        <w:autoSpaceDE w:val="0"/>
        <w:autoSpaceDN w:val="0"/>
        <w:adjustRightInd w:val="0"/>
        <w:spacing w:after="120"/>
        <w:jc w:val="both"/>
        <w:rPr>
          <w:sz w:val="24"/>
          <w:szCs w:val="24"/>
          <w:lang w:val="en-US"/>
        </w:rPr>
      </w:pPr>
      <w:r w:rsidRPr="007C0AAC">
        <w:rPr>
          <w:sz w:val="24"/>
          <w:szCs w:val="24"/>
          <w:lang w:val="en-US"/>
        </w:rPr>
        <w:t xml:space="preserve">They </w:t>
      </w:r>
      <w:r w:rsidR="00B1531B">
        <w:rPr>
          <w:sz w:val="24"/>
          <w:szCs w:val="24"/>
          <w:lang w:val="en-US"/>
        </w:rPr>
        <w:t xml:space="preserve">valuation adjustments </w:t>
      </w:r>
      <w:r w:rsidRPr="007C0AAC">
        <w:rPr>
          <w:sz w:val="24"/>
          <w:szCs w:val="24"/>
          <w:lang w:val="en-US"/>
        </w:rPr>
        <w:t xml:space="preserve">are </w:t>
      </w:r>
      <w:proofErr w:type="spellStart"/>
      <w:r w:rsidRPr="007C0AAC">
        <w:rPr>
          <w:sz w:val="24"/>
          <w:szCs w:val="24"/>
          <w:lang w:val="en-US"/>
        </w:rPr>
        <w:t>recognised</w:t>
      </w:r>
      <w:proofErr w:type="spellEnd"/>
      <w:r w:rsidRPr="007C0AAC">
        <w:rPr>
          <w:sz w:val="24"/>
          <w:szCs w:val="24"/>
          <w:lang w:val="en-US"/>
        </w:rPr>
        <w:t xml:space="preserve"> in the accounts but not </w:t>
      </w:r>
      <w:proofErr w:type="spellStart"/>
      <w:r w:rsidRPr="007C0AAC">
        <w:rPr>
          <w:sz w:val="24"/>
          <w:szCs w:val="24"/>
          <w:lang w:val="en-US"/>
        </w:rPr>
        <w:t>realised</w:t>
      </w:r>
      <w:proofErr w:type="spellEnd"/>
      <w:r w:rsidRPr="007C0AAC">
        <w:rPr>
          <w:sz w:val="24"/>
          <w:szCs w:val="24"/>
          <w:lang w:val="en-US"/>
        </w:rPr>
        <w:t xml:space="preserve">. The valuations are for accounting purposes only and do not represent any cash in or out of the Authority. </w:t>
      </w:r>
      <w:r w:rsidR="007C0AAC">
        <w:rPr>
          <w:sz w:val="24"/>
          <w:szCs w:val="24"/>
          <w:lang w:val="en-US"/>
        </w:rPr>
        <w:t xml:space="preserve">The Authority has over </w:t>
      </w:r>
      <w:r w:rsidR="00B1531B">
        <w:rPr>
          <w:sz w:val="24"/>
          <w:szCs w:val="24"/>
          <w:lang w:val="en-US"/>
        </w:rPr>
        <w:t xml:space="preserve">several </w:t>
      </w:r>
      <w:r w:rsidR="007C0AAC">
        <w:rPr>
          <w:sz w:val="24"/>
          <w:szCs w:val="24"/>
          <w:lang w:val="en-US"/>
        </w:rPr>
        <w:t>years experienced valuations bouncing up and down with sizeable adjustments</w:t>
      </w:r>
      <w:r w:rsidR="009F1DED">
        <w:rPr>
          <w:sz w:val="24"/>
          <w:szCs w:val="24"/>
          <w:lang w:val="en-US"/>
        </w:rPr>
        <w:t xml:space="preserve"> e.g. and increase of £15 million in 2016/17 compared to the £7 million decrease this year.</w:t>
      </w:r>
    </w:p>
    <w:p w:rsidR="00956AD9" w:rsidRPr="00956AD9" w:rsidRDefault="00956AD9" w:rsidP="00956AD9">
      <w:pPr>
        <w:autoSpaceDE w:val="0"/>
        <w:autoSpaceDN w:val="0"/>
        <w:adjustRightInd w:val="0"/>
        <w:spacing w:after="120"/>
        <w:jc w:val="both"/>
        <w:rPr>
          <w:szCs w:val="24"/>
          <w:lang w:val="en-US"/>
        </w:rPr>
      </w:pPr>
    </w:p>
    <w:p w:rsidR="00956AD9" w:rsidRPr="00956AD9" w:rsidRDefault="002B3F04" w:rsidP="00956AD9">
      <w:pPr>
        <w:autoSpaceDE w:val="0"/>
        <w:autoSpaceDN w:val="0"/>
        <w:adjustRightInd w:val="0"/>
        <w:spacing w:after="120"/>
        <w:jc w:val="both"/>
        <w:rPr>
          <w:rFonts w:ascii="Arial" w:eastAsia="Calibri" w:hAnsi="Arial" w:cs="Arial"/>
          <w:b/>
          <w:szCs w:val="24"/>
          <w:lang w:val="en-US"/>
        </w:rPr>
      </w:pPr>
      <w:r>
        <w:rPr>
          <w:rFonts w:ascii="Arial" w:eastAsia="Calibri" w:hAnsi="Arial" w:cs="Arial"/>
          <w:b/>
          <w:szCs w:val="24"/>
          <w:lang w:val="en-US"/>
        </w:rPr>
        <w:t xml:space="preserve">Audit of LPFA </w:t>
      </w:r>
    </w:p>
    <w:p w:rsidR="00956AD9" w:rsidRDefault="00956AD9" w:rsidP="00DB29E7">
      <w:pPr>
        <w:pStyle w:val="ListParagraph"/>
        <w:numPr>
          <w:ilvl w:val="0"/>
          <w:numId w:val="30"/>
        </w:numPr>
        <w:autoSpaceDE w:val="0"/>
        <w:autoSpaceDN w:val="0"/>
        <w:adjustRightInd w:val="0"/>
        <w:spacing w:after="120"/>
        <w:jc w:val="both"/>
        <w:rPr>
          <w:sz w:val="24"/>
          <w:szCs w:val="24"/>
          <w:lang w:val="en-US"/>
        </w:rPr>
      </w:pPr>
      <w:r w:rsidRPr="00956AD9">
        <w:rPr>
          <w:sz w:val="24"/>
          <w:szCs w:val="24"/>
          <w:lang w:val="en-US"/>
        </w:rPr>
        <w:t xml:space="preserve">The LPFA’s auditors </w:t>
      </w:r>
      <w:r w:rsidR="00680EFF">
        <w:rPr>
          <w:sz w:val="24"/>
          <w:szCs w:val="24"/>
          <w:lang w:val="en-US"/>
        </w:rPr>
        <w:t>Grant Thornton</w:t>
      </w:r>
      <w:r w:rsidRPr="00956AD9">
        <w:rPr>
          <w:sz w:val="24"/>
          <w:szCs w:val="24"/>
          <w:lang w:val="en-US"/>
        </w:rPr>
        <w:t xml:space="preserve">, provide assurance to our auditors EY regarding pensions. This year </w:t>
      </w:r>
      <w:r w:rsidR="00680EFF">
        <w:rPr>
          <w:sz w:val="24"/>
          <w:szCs w:val="24"/>
          <w:lang w:val="en-US"/>
        </w:rPr>
        <w:t>Grant Thornton</w:t>
      </w:r>
      <w:r w:rsidRPr="00956AD9">
        <w:rPr>
          <w:sz w:val="24"/>
          <w:szCs w:val="24"/>
          <w:lang w:val="en-US"/>
        </w:rPr>
        <w:t xml:space="preserve"> will be unable to do this until </w:t>
      </w:r>
      <w:proofErr w:type="spellStart"/>
      <w:r w:rsidRPr="00956AD9">
        <w:rPr>
          <w:sz w:val="24"/>
          <w:szCs w:val="24"/>
          <w:lang w:val="en-US"/>
        </w:rPr>
        <w:t>mid July</w:t>
      </w:r>
      <w:proofErr w:type="spellEnd"/>
      <w:r w:rsidRPr="00956AD9">
        <w:rPr>
          <w:sz w:val="24"/>
          <w:szCs w:val="24"/>
          <w:lang w:val="en-US"/>
        </w:rPr>
        <w:t xml:space="preserve">. It </w:t>
      </w:r>
      <w:r w:rsidR="002B3F04">
        <w:rPr>
          <w:sz w:val="24"/>
          <w:szCs w:val="24"/>
          <w:lang w:val="en-US"/>
        </w:rPr>
        <w:t xml:space="preserve">is </w:t>
      </w:r>
      <w:r w:rsidRPr="00956AD9">
        <w:rPr>
          <w:sz w:val="24"/>
          <w:szCs w:val="24"/>
          <w:lang w:val="en-US"/>
        </w:rPr>
        <w:t>highly unlikely that this will result in any changes. However, as precaution the Authority is asked to delegate authority to the Chair to approve any changes required as a result of this audit work, including updating the date on the letter of representation. It should also be noted that EY will sign off the accounts after this this happens.</w:t>
      </w:r>
    </w:p>
    <w:p w:rsidR="00956AD9" w:rsidRDefault="00956AD9" w:rsidP="00956AD9">
      <w:pPr>
        <w:pStyle w:val="ListParagraph"/>
        <w:autoSpaceDE w:val="0"/>
        <w:autoSpaceDN w:val="0"/>
        <w:adjustRightInd w:val="0"/>
        <w:spacing w:after="120"/>
        <w:ind w:left="360"/>
        <w:jc w:val="both"/>
        <w:rPr>
          <w:sz w:val="24"/>
          <w:szCs w:val="24"/>
          <w:lang w:val="en-US"/>
        </w:rPr>
      </w:pPr>
    </w:p>
    <w:p w:rsidR="00956AD9" w:rsidRPr="00680EFF" w:rsidRDefault="00956AD9" w:rsidP="00227419">
      <w:pPr>
        <w:pStyle w:val="ListParagraph"/>
        <w:numPr>
          <w:ilvl w:val="0"/>
          <w:numId w:val="30"/>
        </w:numPr>
        <w:autoSpaceDE w:val="0"/>
        <w:autoSpaceDN w:val="0"/>
        <w:adjustRightInd w:val="0"/>
        <w:spacing w:after="120"/>
        <w:jc w:val="both"/>
        <w:rPr>
          <w:sz w:val="24"/>
          <w:szCs w:val="24"/>
          <w:lang w:val="en-US"/>
        </w:rPr>
      </w:pPr>
      <w:r w:rsidRPr="00680EFF">
        <w:rPr>
          <w:sz w:val="24"/>
          <w:szCs w:val="24"/>
          <w:lang w:val="en-US"/>
        </w:rPr>
        <w:t xml:space="preserve">Once again, this is a procedural matter and it is highly </w:t>
      </w:r>
      <w:r w:rsidR="002B3F04">
        <w:rPr>
          <w:sz w:val="24"/>
          <w:szCs w:val="24"/>
          <w:lang w:val="en-US"/>
        </w:rPr>
        <w:t>un</w:t>
      </w:r>
      <w:r w:rsidRPr="00680EFF">
        <w:rPr>
          <w:sz w:val="24"/>
          <w:szCs w:val="24"/>
          <w:lang w:val="en-US"/>
        </w:rPr>
        <w:t xml:space="preserve">likely that </w:t>
      </w:r>
      <w:r w:rsidR="00680EFF" w:rsidRPr="00680EFF">
        <w:rPr>
          <w:sz w:val="24"/>
          <w:szCs w:val="24"/>
          <w:lang w:val="en-US"/>
        </w:rPr>
        <w:t>there will be any changes. EY’s external audit report explains this issue</w:t>
      </w:r>
      <w:r w:rsidR="00680EFF">
        <w:rPr>
          <w:sz w:val="24"/>
          <w:szCs w:val="24"/>
          <w:lang w:val="en-US"/>
        </w:rPr>
        <w:t xml:space="preserve"> in the status of audit section</w:t>
      </w:r>
      <w:r w:rsidR="00680EFF" w:rsidRPr="00680EFF">
        <w:rPr>
          <w:sz w:val="24"/>
          <w:szCs w:val="24"/>
          <w:lang w:val="en-US"/>
        </w:rPr>
        <w:t>.</w:t>
      </w:r>
    </w:p>
    <w:p w:rsidR="00FA5AA0" w:rsidRPr="00FA5AA0" w:rsidRDefault="00FA5AA0" w:rsidP="00FA5AA0">
      <w:pPr>
        <w:autoSpaceDE w:val="0"/>
        <w:autoSpaceDN w:val="0"/>
        <w:adjustRightInd w:val="0"/>
        <w:spacing w:after="120"/>
        <w:jc w:val="both"/>
        <w:rPr>
          <w:szCs w:val="24"/>
          <w:lang w:eastAsia="en-GB"/>
        </w:rPr>
      </w:pPr>
    </w:p>
    <w:p w:rsidR="008738BE" w:rsidRDefault="007954F5" w:rsidP="008738BE">
      <w:pPr>
        <w:spacing w:after="120"/>
        <w:jc w:val="both"/>
        <w:rPr>
          <w:rFonts w:ascii="Arial" w:hAnsi="Arial" w:cs="Arial"/>
          <w:szCs w:val="24"/>
          <w:lang w:val="en-US"/>
        </w:rPr>
      </w:pPr>
      <w:r>
        <w:rPr>
          <w:rFonts w:ascii="Arial" w:hAnsi="Arial" w:cs="Arial"/>
          <w:b/>
          <w:szCs w:val="24"/>
          <w:lang w:val="en-US"/>
        </w:rPr>
        <w:t>30</w:t>
      </w:r>
      <w:r w:rsidR="008738BE">
        <w:rPr>
          <w:rFonts w:ascii="Arial" w:hAnsi="Arial" w:cs="Arial"/>
          <w:b/>
          <w:szCs w:val="24"/>
          <w:lang w:val="en-US"/>
        </w:rPr>
        <w:t xml:space="preserve">. </w:t>
      </w:r>
      <w:r w:rsidR="006A5089" w:rsidRPr="007A3E6A">
        <w:rPr>
          <w:rFonts w:ascii="Arial" w:hAnsi="Arial" w:cs="Arial"/>
          <w:b/>
          <w:szCs w:val="24"/>
          <w:lang w:val="en-US"/>
        </w:rPr>
        <w:t xml:space="preserve">Financial Implications </w:t>
      </w:r>
      <w:r w:rsidR="006A5089" w:rsidRPr="007A3E6A">
        <w:rPr>
          <w:rFonts w:ascii="Arial" w:hAnsi="Arial" w:cs="Arial"/>
          <w:szCs w:val="24"/>
          <w:lang w:val="en-US"/>
        </w:rPr>
        <w:t>– These are detailed in the report</w:t>
      </w:r>
      <w:r w:rsidR="008738BE">
        <w:rPr>
          <w:rFonts w:ascii="Arial" w:hAnsi="Arial" w:cs="Arial"/>
          <w:szCs w:val="24"/>
          <w:lang w:val="en-US"/>
        </w:rPr>
        <w:t>.</w:t>
      </w:r>
    </w:p>
    <w:p w:rsidR="00C2799A" w:rsidRPr="00C2799A" w:rsidRDefault="00C2799A" w:rsidP="008738BE">
      <w:pPr>
        <w:jc w:val="both"/>
        <w:rPr>
          <w:rFonts w:ascii="Arial" w:hAnsi="Arial" w:cs="Arial"/>
          <w:i/>
          <w:szCs w:val="24"/>
          <w:lang w:val="en-US"/>
        </w:rPr>
      </w:pPr>
    </w:p>
    <w:p w:rsidR="006A5089" w:rsidRDefault="007954F5" w:rsidP="008738BE">
      <w:pPr>
        <w:spacing w:after="120"/>
        <w:jc w:val="both"/>
        <w:rPr>
          <w:rFonts w:ascii="Arial" w:hAnsi="Arial" w:cs="Arial"/>
          <w:b/>
          <w:szCs w:val="24"/>
          <w:lang w:val="en-US"/>
        </w:rPr>
      </w:pPr>
      <w:r>
        <w:rPr>
          <w:rFonts w:ascii="Arial" w:hAnsi="Arial" w:cs="Arial"/>
          <w:b/>
          <w:szCs w:val="24"/>
          <w:lang w:val="en-US"/>
        </w:rPr>
        <w:t>31</w:t>
      </w:r>
      <w:r w:rsidR="008738BE">
        <w:rPr>
          <w:rFonts w:ascii="Arial" w:hAnsi="Arial" w:cs="Arial"/>
          <w:b/>
          <w:szCs w:val="24"/>
          <w:lang w:val="en-US"/>
        </w:rPr>
        <w:t xml:space="preserve">. </w:t>
      </w:r>
      <w:r w:rsidR="006A5089" w:rsidRPr="007A3E6A">
        <w:rPr>
          <w:rFonts w:ascii="Arial" w:hAnsi="Arial" w:cs="Arial"/>
          <w:b/>
          <w:szCs w:val="24"/>
          <w:lang w:val="en-US"/>
        </w:rPr>
        <w:t xml:space="preserve">Legal Implications </w:t>
      </w:r>
      <w:r w:rsidR="006A5089" w:rsidRPr="007A3E6A">
        <w:rPr>
          <w:rFonts w:ascii="Arial" w:hAnsi="Arial" w:cs="Arial"/>
          <w:szCs w:val="24"/>
          <w:lang w:val="en-US"/>
        </w:rPr>
        <w:t>–</w:t>
      </w:r>
      <w:r w:rsidR="003877CB">
        <w:rPr>
          <w:rFonts w:ascii="Arial" w:hAnsi="Arial" w:cs="Arial"/>
          <w:szCs w:val="24"/>
          <w:lang w:val="en-US"/>
        </w:rPr>
        <w:t xml:space="preserve"> It is a statutory requirement for the Authority to produce a</w:t>
      </w:r>
      <w:r w:rsidR="003E5C54">
        <w:rPr>
          <w:rFonts w:ascii="Arial" w:hAnsi="Arial" w:cs="Arial"/>
          <w:szCs w:val="24"/>
          <w:lang w:val="en-US"/>
        </w:rPr>
        <w:t>nnual financial statements</w:t>
      </w:r>
      <w:r w:rsidR="006A5089" w:rsidRPr="007A3E6A">
        <w:rPr>
          <w:rFonts w:ascii="Arial" w:hAnsi="Arial" w:cs="Arial"/>
          <w:b/>
          <w:szCs w:val="24"/>
          <w:lang w:val="en-US"/>
        </w:rPr>
        <w:t>.</w:t>
      </w:r>
    </w:p>
    <w:p w:rsidR="008738BE" w:rsidRPr="007A3E6A" w:rsidRDefault="008738BE" w:rsidP="008738BE">
      <w:pPr>
        <w:jc w:val="both"/>
        <w:rPr>
          <w:rFonts w:ascii="Arial" w:hAnsi="Arial" w:cs="Arial"/>
          <w:b/>
          <w:szCs w:val="24"/>
          <w:lang w:val="en-US"/>
        </w:rPr>
      </w:pPr>
    </w:p>
    <w:p w:rsidR="000E2808" w:rsidRPr="00E93B66" w:rsidRDefault="007954F5" w:rsidP="008738BE">
      <w:pPr>
        <w:spacing w:after="120"/>
        <w:jc w:val="both"/>
        <w:rPr>
          <w:rFonts w:ascii="Arial" w:hAnsi="Arial" w:cs="Arial"/>
          <w:szCs w:val="24"/>
          <w:lang w:val="en-US"/>
        </w:rPr>
      </w:pPr>
      <w:r>
        <w:rPr>
          <w:rFonts w:ascii="Arial" w:hAnsi="Arial" w:cs="Arial"/>
          <w:b/>
          <w:szCs w:val="24"/>
          <w:lang w:val="en-US"/>
        </w:rPr>
        <w:lastRenderedPageBreak/>
        <w:t>32</w:t>
      </w:r>
      <w:r w:rsidR="008738BE">
        <w:rPr>
          <w:rFonts w:ascii="Arial" w:hAnsi="Arial" w:cs="Arial"/>
          <w:b/>
          <w:szCs w:val="24"/>
          <w:lang w:val="en-US"/>
        </w:rPr>
        <w:t xml:space="preserve">. </w:t>
      </w:r>
      <w:r w:rsidR="006A5089" w:rsidRPr="005C0616">
        <w:rPr>
          <w:rFonts w:ascii="Arial" w:hAnsi="Arial" w:cs="Arial"/>
          <w:b/>
          <w:szCs w:val="24"/>
          <w:lang w:val="en-US"/>
        </w:rPr>
        <w:t>Impact on Joint Waste Management Strategy</w:t>
      </w:r>
      <w:r w:rsidR="006A5089" w:rsidRPr="005C0616">
        <w:rPr>
          <w:rFonts w:ascii="Arial" w:hAnsi="Arial" w:cs="Arial"/>
          <w:b/>
          <w:i/>
          <w:szCs w:val="24"/>
          <w:lang w:val="en-US"/>
        </w:rPr>
        <w:t xml:space="preserve"> </w:t>
      </w:r>
      <w:r w:rsidR="006A5089" w:rsidRPr="005C0616">
        <w:rPr>
          <w:rFonts w:ascii="Arial" w:hAnsi="Arial" w:cs="Arial"/>
          <w:i/>
          <w:szCs w:val="24"/>
          <w:lang w:val="en-US"/>
        </w:rPr>
        <w:t>–</w:t>
      </w:r>
      <w:r w:rsidR="003E5C54" w:rsidRPr="005C0616">
        <w:rPr>
          <w:rFonts w:ascii="Arial" w:hAnsi="Arial" w:cs="Arial"/>
          <w:szCs w:val="24"/>
          <w:lang w:val="en-US"/>
        </w:rPr>
        <w:t xml:space="preserve"> </w:t>
      </w:r>
      <w:r w:rsidR="00E52701" w:rsidRPr="00E52701">
        <w:rPr>
          <w:rFonts w:ascii="Arial" w:hAnsi="Arial" w:cs="Arial"/>
          <w:szCs w:val="24"/>
          <w:lang w:val="en-US"/>
        </w:rPr>
        <w:t xml:space="preserve">The </w:t>
      </w:r>
      <w:r w:rsidR="00E52701">
        <w:rPr>
          <w:rFonts w:ascii="Arial" w:hAnsi="Arial" w:cs="Arial"/>
          <w:szCs w:val="24"/>
          <w:lang w:val="en-US"/>
        </w:rPr>
        <w:t xml:space="preserve">draft Statement of Accounts set out in this report </w:t>
      </w:r>
      <w:r w:rsidR="00E52701" w:rsidRPr="00E52701">
        <w:rPr>
          <w:rFonts w:ascii="Arial" w:hAnsi="Arial" w:cs="Arial"/>
          <w:szCs w:val="24"/>
          <w:lang w:val="en-US"/>
        </w:rPr>
        <w:t>demonstrate</w:t>
      </w:r>
      <w:r w:rsidR="00E52701">
        <w:rPr>
          <w:rFonts w:ascii="Arial" w:hAnsi="Arial" w:cs="Arial"/>
          <w:szCs w:val="24"/>
          <w:lang w:val="en-US"/>
        </w:rPr>
        <w:t>s</w:t>
      </w:r>
      <w:r w:rsidR="00E52701" w:rsidRPr="00E52701">
        <w:rPr>
          <w:rFonts w:ascii="Arial" w:hAnsi="Arial" w:cs="Arial"/>
          <w:szCs w:val="24"/>
          <w:lang w:val="en-US"/>
        </w:rPr>
        <w:t xml:space="preserve"> that the Authority is supporting the borough</w:t>
      </w:r>
      <w:r w:rsidR="00E52701">
        <w:rPr>
          <w:rFonts w:ascii="Arial" w:hAnsi="Arial" w:cs="Arial"/>
          <w:szCs w:val="24"/>
          <w:lang w:val="en-US"/>
        </w:rPr>
        <w:t>s</w:t>
      </w:r>
      <w:r w:rsidR="00E52701" w:rsidRPr="00E52701">
        <w:rPr>
          <w:rFonts w:ascii="Arial" w:hAnsi="Arial" w:cs="Arial"/>
          <w:szCs w:val="24"/>
          <w:lang w:val="en-US"/>
        </w:rPr>
        <w:t xml:space="preserve"> to deliver improved value for money to its residents in line with Policy 7</w:t>
      </w:r>
      <w:r w:rsidR="00E52701">
        <w:rPr>
          <w:rFonts w:ascii="Arial" w:hAnsi="Arial" w:cs="Arial"/>
          <w:szCs w:val="24"/>
          <w:lang w:val="en-US"/>
        </w:rPr>
        <w:t>and demonstrate partnership working as set out in Policy 8</w:t>
      </w:r>
    </w:p>
    <w:p w:rsidR="000D1708" w:rsidRDefault="00E52701" w:rsidP="00C2799A">
      <w:pPr>
        <w:spacing w:before="240" w:after="120"/>
        <w:jc w:val="both"/>
        <w:rPr>
          <w:rFonts w:ascii="Arial" w:hAnsi="Arial" w:cs="Arial"/>
          <w:szCs w:val="24"/>
          <w:lang w:val="en-US"/>
        </w:rPr>
      </w:pPr>
      <w:r w:rsidRPr="00E93B66">
        <w:rPr>
          <w:rFonts w:ascii="Arial" w:hAnsi="Arial" w:cs="Arial"/>
          <w:szCs w:val="24"/>
          <w:lang w:val="en-US"/>
        </w:rPr>
        <w:t>Policy 7: The West London Waste Authority</w:t>
      </w:r>
      <w:r w:rsidRPr="00E93B66">
        <w:rPr>
          <w:rFonts w:ascii="Arial" w:hAnsi="Arial" w:cs="Arial"/>
          <w:i/>
          <w:szCs w:val="24"/>
          <w:lang w:val="en-US"/>
        </w:rPr>
        <w:t xml:space="preserve"> a</w:t>
      </w:r>
      <w:r w:rsidRPr="00E93B66">
        <w:rPr>
          <w:rFonts w:ascii="Arial" w:hAnsi="Arial" w:cs="Arial"/>
          <w:szCs w:val="24"/>
          <w:lang w:val="en-US"/>
        </w:rPr>
        <w:t>nd con</w:t>
      </w:r>
      <w:r w:rsidRPr="00E52701">
        <w:rPr>
          <w:rFonts w:ascii="Arial" w:hAnsi="Arial" w:cs="Arial"/>
        </w:rPr>
        <w:t>s</w:t>
      </w:r>
      <w:proofErr w:type="spellStart"/>
      <w:r w:rsidRPr="00E93B66">
        <w:rPr>
          <w:rFonts w:ascii="Arial" w:hAnsi="Arial" w:cs="Arial"/>
          <w:szCs w:val="24"/>
          <w:lang w:val="en-US"/>
        </w:rPr>
        <w:t>tituent</w:t>
      </w:r>
      <w:proofErr w:type="spellEnd"/>
      <w:r w:rsidRPr="00E93B66">
        <w:rPr>
          <w:rFonts w:ascii="Arial" w:hAnsi="Arial" w:cs="Arial"/>
          <w:szCs w:val="24"/>
          <w:lang w:val="en-US"/>
        </w:rPr>
        <w:t xml:space="preserve"> Boroughs will seek to provide waste management services that offer good value, that provide customer satisfaction and that meet and exceed legislative requirements</w:t>
      </w:r>
    </w:p>
    <w:p w:rsidR="000E2808" w:rsidRDefault="00E52701" w:rsidP="00E93B66">
      <w:pPr>
        <w:spacing w:before="240" w:after="120"/>
        <w:jc w:val="both"/>
        <w:rPr>
          <w:rFonts w:ascii="Arial" w:hAnsi="Arial" w:cs="Arial"/>
        </w:rPr>
      </w:pPr>
      <w:r w:rsidRPr="00E93B66">
        <w:rPr>
          <w:rFonts w:ascii="Arial" w:hAnsi="Arial" w:cs="Arial"/>
          <w:szCs w:val="24"/>
          <w:lang w:val="en-US"/>
        </w:rPr>
        <w:t>Policy 8: The West London Waste Authority and constituent Boroughs will w</w:t>
      </w:r>
      <w:proofErr w:type="spellStart"/>
      <w:r w:rsidRPr="000E2808">
        <w:rPr>
          <w:rFonts w:ascii="Arial" w:hAnsi="Arial" w:cs="Arial"/>
        </w:rPr>
        <w:t>ork</w:t>
      </w:r>
      <w:proofErr w:type="spellEnd"/>
      <w:r w:rsidRPr="000E2808">
        <w:rPr>
          <w:rFonts w:ascii="Arial" w:hAnsi="Arial" w:cs="Arial"/>
        </w:rPr>
        <w:t xml:space="preserve"> together to achieve the aims of this strategy and are committed to share equitably the costs and rewards of achieving its aims.</w:t>
      </w:r>
    </w:p>
    <w:p w:rsidR="00E35AEF" w:rsidRPr="000E2808" w:rsidRDefault="00E35AEF" w:rsidP="00E93B66">
      <w:pPr>
        <w:spacing w:before="240" w:after="120"/>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rsidTr="00951B2B">
        <w:tc>
          <w:tcPr>
            <w:tcW w:w="2410" w:type="dxa"/>
          </w:tcPr>
          <w:p w:rsidR="00BC0B22" w:rsidRPr="000E2808" w:rsidRDefault="00BC0B22" w:rsidP="00F529F1">
            <w:pPr>
              <w:spacing w:before="120" w:after="120"/>
              <w:ind w:right="113"/>
              <w:rPr>
                <w:rFonts w:ascii="Arial" w:hAnsi="Arial" w:cs="Arial"/>
                <w:szCs w:val="24"/>
              </w:rPr>
            </w:pPr>
            <w:r w:rsidRPr="000E2808">
              <w:rPr>
                <w:rFonts w:ascii="Arial" w:hAnsi="Arial" w:cs="Arial"/>
                <w:szCs w:val="24"/>
              </w:rPr>
              <w:t>Contact Officers</w:t>
            </w:r>
          </w:p>
          <w:p w:rsidR="00C6030D" w:rsidRPr="000E2808" w:rsidRDefault="00C6030D" w:rsidP="00E04143">
            <w:pPr>
              <w:spacing w:before="120" w:after="120"/>
              <w:ind w:right="113"/>
              <w:rPr>
                <w:rFonts w:ascii="Arial" w:hAnsi="Arial" w:cs="Arial"/>
                <w:i/>
                <w:szCs w:val="24"/>
              </w:rPr>
            </w:pPr>
          </w:p>
        </w:tc>
        <w:tc>
          <w:tcPr>
            <w:tcW w:w="7938" w:type="dxa"/>
          </w:tcPr>
          <w:p w:rsidR="004F22C5" w:rsidRPr="000E2808" w:rsidRDefault="007A3E6A" w:rsidP="00F529F1">
            <w:pPr>
              <w:spacing w:before="120"/>
              <w:ind w:right="113"/>
              <w:rPr>
                <w:rFonts w:ascii="Arial" w:hAnsi="Arial" w:cs="Arial"/>
                <w:szCs w:val="24"/>
              </w:rPr>
            </w:pPr>
            <w:r w:rsidRPr="000E2808">
              <w:rPr>
                <w:rFonts w:ascii="Arial" w:hAnsi="Arial" w:cs="Arial"/>
                <w:szCs w:val="24"/>
              </w:rPr>
              <w:t>Jay Patel</w:t>
            </w:r>
            <w:r w:rsidR="004F22C5" w:rsidRPr="000E2808">
              <w:rPr>
                <w:rFonts w:ascii="Arial" w:hAnsi="Arial" w:cs="Arial"/>
                <w:szCs w:val="24"/>
              </w:rPr>
              <w:t xml:space="preserve">, Head of Finance  </w:t>
            </w:r>
            <w:r w:rsidR="00141753" w:rsidRPr="000E2808">
              <w:rPr>
                <w:rFonts w:ascii="Arial" w:hAnsi="Arial" w:cs="Arial"/>
                <w:szCs w:val="24"/>
              </w:rPr>
              <w:tab/>
            </w:r>
            <w:r w:rsidR="00141753" w:rsidRPr="000E2808">
              <w:rPr>
                <w:rFonts w:ascii="Arial" w:hAnsi="Arial" w:cs="Arial"/>
                <w:szCs w:val="24"/>
              </w:rPr>
              <w:tab/>
            </w:r>
            <w:r w:rsidR="00141753" w:rsidRPr="000E2808">
              <w:rPr>
                <w:rFonts w:ascii="Arial" w:hAnsi="Arial" w:cs="Arial"/>
                <w:szCs w:val="24"/>
              </w:rPr>
              <w:tab/>
            </w:r>
            <w:r w:rsidR="00E53FC8">
              <w:rPr>
                <w:rFonts w:ascii="Arial" w:hAnsi="Arial" w:cs="Arial"/>
                <w:szCs w:val="24"/>
              </w:rPr>
              <w:t>01895 54 55 11</w:t>
            </w:r>
          </w:p>
          <w:p w:rsidR="007A3E6A" w:rsidRDefault="00876C63" w:rsidP="00F529F1">
            <w:pPr>
              <w:spacing w:before="120"/>
              <w:ind w:right="113"/>
              <w:rPr>
                <w:rFonts w:ascii="Arial" w:hAnsi="Arial" w:cs="Arial"/>
                <w:szCs w:val="24"/>
              </w:rPr>
            </w:pPr>
            <w:hyperlink r:id="rId11" w:history="1">
              <w:r w:rsidR="007A3E6A" w:rsidRPr="007A6CBD">
                <w:rPr>
                  <w:rStyle w:val="Hyperlink"/>
                  <w:rFonts w:ascii="Arial" w:hAnsi="Arial" w:cs="Arial"/>
                  <w:szCs w:val="24"/>
                </w:rPr>
                <w:t>jaypatel@westlondonwaste.gov.uk</w:t>
              </w:r>
            </w:hyperlink>
          </w:p>
          <w:p w:rsidR="00484BA7" w:rsidRDefault="00484BA7" w:rsidP="00141753">
            <w:pPr>
              <w:spacing w:before="120"/>
              <w:ind w:right="113"/>
              <w:rPr>
                <w:rFonts w:ascii="Arial" w:hAnsi="Arial"/>
              </w:rPr>
            </w:pPr>
          </w:p>
          <w:p w:rsidR="00484BA7" w:rsidRPr="000E2808" w:rsidRDefault="00484BA7" w:rsidP="00484BA7">
            <w:pPr>
              <w:spacing w:before="120"/>
              <w:ind w:right="113"/>
              <w:rPr>
                <w:rFonts w:ascii="Arial" w:hAnsi="Arial" w:cs="Arial"/>
                <w:szCs w:val="24"/>
              </w:rPr>
            </w:pPr>
            <w:r>
              <w:rPr>
                <w:rFonts w:ascii="Arial" w:hAnsi="Arial"/>
              </w:rPr>
              <w:t>Emma Beal, Managing Director</w:t>
            </w:r>
            <w:r w:rsidRPr="000E2808">
              <w:rPr>
                <w:rFonts w:ascii="Arial" w:hAnsi="Arial" w:cs="Arial"/>
                <w:szCs w:val="24"/>
              </w:rPr>
              <w:tab/>
            </w:r>
            <w:r>
              <w:rPr>
                <w:rFonts w:ascii="Arial" w:hAnsi="Arial" w:cs="Arial"/>
                <w:szCs w:val="24"/>
              </w:rPr>
              <w:t xml:space="preserve">            </w:t>
            </w:r>
            <w:r w:rsidRPr="000E2808">
              <w:rPr>
                <w:rFonts w:ascii="Arial" w:hAnsi="Arial" w:cs="Arial"/>
                <w:szCs w:val="24"/>
              </w:rPr>
              <w:tab/>
            </w:r>
            <w:r>
              <w:rPr>
                <w:rFonts w:ascii="Arial" w:hAnsi="Arial" w:cs="Arial"/>
                <w:szCs w:val="24"/>
              </w:rPr>
              <w:t>01895 54</w:t>
            </w:r>
            <w:r w:rsidR="005A279C">
              <w:rPr>
                <w:rFonts w:ascii="Arial" w:hAnsi="Arial" w:cs="Arial"/>
                <w:szCs w:val="24"/>
              </w:rPr>
              <w:t xml:space="preserve"> </w:t>
            </w:r>
            <w:r>
              <w:rPr>
                <w:rFonts w:ascii="Arial" w:hAnsi="Arial" w:cs="Arial"/>
                <w:szCs w:val="24"/>
              </w:rPr>
              <w:t>55</w:t>
            </w:r>
            <w:r w:rsidR="005A279C">
              <w:rPr>
                <w:rFonts w:ascii="Arial" w:hAnsi="Arial" w:cs="Arial"/>
                <w:szCs w:val="24"/>
              </w:rPr>
              <w:t xml:space="preserve"> </w:t>
            </w:r>
            <w:r>
              <w:rPr>
                <w:rFonts w:ascii="Arial" w:hAnsi="Arial" w:cs="Arial"/>
                <w:szCs w:val="24"/>
              </w:rPr>
              <w:t>15</w:t>
            </w:r>
          </w:p>
          <w:p w:rsidR="00484BA7" w:rsidRDefault="00876C63" w:rsidP="00141753">
            <w:pPr>
              <w:spacing w:before="120"/>
              <w:ind w:right="113"/>
              <w:rPr>
                <w:rFonts w:ascii="Arial" w:hAnsi="Arial"/>
              </w:rPr>
            </w:pPr>
            <w:hyperlink r:id="rId12" w:history="1">
              <w:r w:rsidR="00484BA7" w:rsidRPr="00C84C70">
                <w:rPr>
                  <w:rStyle w:val="Hyperlink"/>
                  <w:rFonts w:ascii="Arial" w:hAnsi="Arial"/>
                </w:rPr>
                <w:t>emmabeal@westlondonwaste.gov.uk</w:t>
              </w:r>
            </w:hyperlink>
          </w:p>
          <w:p w:rsidR="00484BA7" w:rsidRDefault="00484BA7" w:rsidP="00141753">
            <w:pPr>
              <w:spacing w:before="120"/>
              <w:ind w:right="113"/>
              <w:rPr>
                <w:rFonts w:ascii="Arial" w:hAnsi="Arial"/>
              </w:rPr>
            </w:pPr>
          </w:p>
          <w:p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rsidR="000E6768" w:rsidRDefault="00876C63" w:rsidP="00141753">
            <w:pPr>
              <w:spacing w:before="120"/>
              <w:ind w:right="113"/>
              <w:rPr>
                <w:rFonts w:ascii="Arial" w:hAnsi="Arial"/>
              </w:rPr>
            </w:pPr>
            <w:hyperlink r:id="rId13" w:history="1">
              <w:r w:rsidR="00E53FC8" w:rsidRPr="005272C4">
                <w:rPr>
                  <w:rStyle w:val="Hyperlink"/>
                  <w:rFonts w:ascii="Arial" w:hAnsi="Arial"/>
                </w:rPr>
                <w:t>ianodonnell@westlondonwaste.gov.uk</w:t>
              </w:r>
            </w:hyperlink>
            <w:r w:rsidR="00E53FC8">
              <w:rPr>
                <w:rFonts w:ascii="Arial" w:hAnsi="Arial"/>
              </w:rPr>
              <w:t xml:space="preserve"> </w:t>
            </w:r>
            <w:r w:rsidR="00C6030D" w:rsidRPr="007A3E6A">
              <w:rPr>
                <w:rFonts w:ascii="Arial" w:hAnsi="Arial"/>
              </w:rPr>
              <w:t xml:space="preserve">             </w:t>
            </w:r>
            <w:r w:rsidR="000E6768" w:rsidRPr="007A3E6A">
              <w:rPr>
                <w:rFonts w:ascii="Arial" w:hAnsi="Arial"/>
              </w:rPr>
              <w:t xml:space="preserve">   </w:t>
            </w:r>
            <w:r w:rsidR="00C6030D" w:rsidRPr="007A3E6A">
              <w:rPr>
                <w:rFonts w:ascii="Arial" w:hAnsi="Arial"/>
              </w:rPr>
              <w:t xml:space="preserve"> </w:t>
            </w:r>
            <w:r w:rsidR="000E6768" w:rsidRPr="007A3E6A">
              <w:rPr>
                <w:rFonts w:ascii="Arial" w:hAnsi="Arial"/>
              </w:rPr>
              <w:t xml:space="preserve">             </w:t>
            </w:r>
            <w:r w:rsidR="00C6030D" w:rsidRPr="007A3E6A">
              <w:rPr>
                <w:rFonts w:ascii="Arial" w:hAnsi="Arial"/>
              </w:rPr>
              <w:t xml:space="preserve">      </w:t>
            </w:r>
          </w:p>
          <w:p w:rsidR="00141753" w:rsidRPr="007A3E6A" w:rsidRDefault="00141753" w:rsidP="00141753">
            <w:pPr>
              <w:spacing w:before="120"/>
              <w:ind w:right="113"/>
              <w:rPr>
                <w:rFonts w:ascii="Arial" w:hAnsi="Arial" w:cs="Arial"/>
                <w:szCs w:val="24"/>
              </w:rPr>
            </w:pPr>
          </w:p>
        </w:tc>
      </w:tr>
    </w:tbl>
    <w:p w:rsidR="005E2C32" w:rsidRDefault="005E2C32">
      <w:pPr>
        <w:rPr>
          <w:rFonts w:ascii="Arial" w:hAnsi="Arial" w:cs="Arial"/>
          <w:szCs w:val="24"/>
        </w:rPr>
      </w:pPr>
    </w:p>
    <w:p w:rsidR="004A60B5" w:rsidRDefault="004A60B5">
      <w:pPr>
        <w:rPr>
          <w:rFonts w:ascii="Arial" w:hAnsi="Arial" w:cs="Arial"/>
          <w:b/>
          <w:noProof/>
          <w:szCs w:val="24"/>
          <w:lang w:eastAsia="en-GB"/>
        </w:rPr>
      </w:pPr>
      <w:r>
        <w:rPr>
          <w:rFonts w:ascii="Arial" w:hAnsi="Arial" w:cs="Arial"/>
          <w:b/>
          <w:noProof/>
          <w:szCs w:val="24"/>
          <w:lang w:eastAsia="en-GB"/>
        </w:rPr>
        <w:br w:type="page"/>
      </w:r>
    </w:p>
    <w:p w:rsidR="00632F44" w:rsidRPr="004A60B5" w:rsidRDefault="004A60B5" w:rsidP="005C0616">
      <w:pPr>
        <w:spacing w:after="240"/>
        <w:outlineLvl w:val="3"/>
        <w:rPr>
          <w:rFonts w:ascii="Arial" w:hAnsi="Arial" w:cs="Arial"/>
          <w:b/>
          <w:noProof/>
          <w:szCs w:val="24"/>
          <w:lang w:eastAsia="en-GB"/>
        </w:rPr>
      </w:pPr>
      <w:r w:rsidRPr="004A60B5">
        <w:rPr>
          <w:rFonts w:ascii="Arial" w:hAnsi="Arial" w:cs="Arial"/>
          <w:b/>
          <w:noProof/>
          <w:szCs w:val="24"/>
          <w:lang w:eastAsia="en-GB"/>
        </w:rPr>
        <w:lastRenderedPageBreak/>
        <w:t xml:space="preserve">Appendix </w:t>
      </w:r>
      <w:r w:rsidR="00897FD1">
        <w:rPr>
          <w:rFonts w:ascii="Arial" w:hAnsi="Arial" w:cs="Arial"/>
          <w:b/>
          <w:noProof/>
          <w:szCs w:val="24"/>
          <w:lang w:eastAsia="en-GB"/>
        </w:rPr>
        <w:t>1</w:t>
      </w:r>
    </w:p>
    <w:p w:rsidR="00A84E83" w:rsidRDefault="00896715" w:rsidP="005C0616">
      <w:pPr>
        <w:spacing w:after="240"/>
        <w:outlineLvl w:val="3"/>
        <w:rPr>
          <w:rFonts w:ascii="Arial" w:hAnsi="Arial" w:cs="Arial"/>
          <w:szCs w:val="24"/>
        </w:rPr>
      </w:pPr>
      <w:r w:rsidRPr="00896715">
        <w:rPr>
          <w:rFonts w:ascii="Arial" w:hAnsi="Arial" w:cs="Arial"/>
          <w:noProof/>
          <w:szCs w:val="24"/>
          <w:lang w:eastAsia="en-GB"/>
        </w:rPr>
        <w:drawing>
          <wp:inline distT="0" distB="0" distL="0" distR="0">
            <wp:extent cx="6315075" cy="7486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7486650"/>
                    </a:xfrm>
                    <a:prstGeom prst="rect">
                      <a:avLst/>
                    </a:prstGeom>
                    <a:noFill/>
                    <a:ln>
                      <a:noFill/>
                    </a:ln>
                  </pic:spPr>
                </pic:pic>
              </a:graphicData>
            </a:graphic>
          </wp:inline>
        </w:drawing>
      </w:r>
    </w:p>
    <w:sectPr w:rsidR="00A84E83" w:rsidSect="003877CB">
      <w:footerReference w:type="default" r:id="rId15"/>
      <w:type w:val="continuous"/>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12" w:rsidRDefault="00D55812">
      <w:r>
        <w:separator/>
      </w:r>
    </w:p>
  </w:endnote>
  <w:endnote w:type="continuationSeparator" w:id="0">
    <w:p w:rsidR="00D55812" w:rsidRDefault="00D5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12" w:rsidRDefault="00D55812"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12" w:rsidRDefault="00D55812">
      <w:r>
        <w:separator/>
      </w:r>
    </w:p>
  </w:footnote>
  <w:footnote w:type="continuationSeparator" w:id="0">
    <w:p w:rsidR="00D55812" w:rsidRDefault="00D5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10D02F20"/>
    <w:multiLevelType w:val="hybridMultilevel"/>
    <w:tmpl w:val="2DFED3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A55D04"/>
    <w:multiLevelType w:val="hybridMultilevel"/>
    <w:tmpl w:val="732E40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D0943"/>
    <w:multiLevelType w:val="hybridMultilevel"/>
    <w:tmpl w:val="3A5AE15C"/>
    <w:lvl w:ilvl="0" w:tplc="45E257C2">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726BEB"/>
    <w:multiLevelType w:val="hybridMultilevel"/>
    <w:tmpl w:val="BA74A742"/>
    <w:lvl w:ilvl="0" w:tplc="08090001">
      <w:start w:val="1"/>
      <w:numFmt w:val="bullet"/>
      <w:lvlText w:val=""/>
      <w:lvlJc w:val="left"/>
      <w:pPr>
        <w:ind w:left="360" w:hanging="360"/>
      </w:pPr>
      <w:rPr>
        <w:rFonts w:ascii="Symbol" w:hAnsi="Symbo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195CA2"/>
    <w:multiLevelType w:val="hybridMultilevel"/>
    <w:tmpl w:val="7BDC3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7" w15:restartNumberingAfterBreak="0">
    <w:nsid w:val="5DC75970"/>
    <w:multiLevelType w:val="hybridMultilevel"/>
    <w:tmpl w:val="58C4D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9"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20"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70A52E9F"/>
    <w:multiLevelType w:val="hybridMultilevel"/>
    <w:tmpl w:val="7F9E7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7"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174817"/>
    <w:multiLevelType w:val="hybridMultilevel"/>
    <w:tmpl w:val="D972A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3"/>
  </w:num>
  <w:num w:numId="3">
    <w:abstractNumId w:val="18"/>
  </w:num>
  <w:num w:numId="4">
    <w:abstractNumId w:val="20"/>
  </w:num>
  <w:num w:numId="5">
    <w:abstractNumId w:val="6"/>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2"/>
  </w:num>
  <w:num w:numId="11">
    <w:abstractNumId w:val="8"/>
  </w:num>
  <w:num w:numId="12">
    <w:abstractNumId w:val="19"/>
  </w:num>
  <w:num w:numId="13">
    <w:abstractNumId w:val="28"/>
  </w:num>
  <w:num w:numId="14">
    <w:abstractNumId w:val="16"/>
  </w:num>
  <w:num w:numId="15">
    <w:abstractNumId w:val="10"/>
  </w:num>
  <w:num w:numId="16">
    <w:abstractNumId w:val="30"/>
  </w:num>
  <w:num w:numId="17">
    <w:abstractNumId w:val="21"/>
  </w:num>
  <w:num w:numId="18">
    <w:abstractNumId w:val="5"/>
  </w:num>
  <w:num w:numId="19">
    <w:abstractNumId w:val="27"/>
  </w:num>
  <w:num w:numId="20">
    <w:abstractNumId w:val="29"/>
  </w:num>
  <w:num w:numId="21">
    <w:abstractNumId w:val="14"/>
  </w:num>
  <w:num w:numId="22">
    <w:abstractNumId w:val="4"/>
  </w:num>
  <w:num w:numId="23">
    <w:abstractNumId w:val="31"/>
  </w:num>
  <w:num w:numId="24">
    <w:abstractNumId w:val="1"/>
  </w:num>
  <w:num w:numId="25">
    <w:abstractNumId w:val="3"/>
  </w:num>
  <w:num w:numId="26">
    <w:abstractNumId w:val="24"/>
  </w:num>
  <w:num w:numId="27">
    <w:abstractNumId w:val="25"/>
  </w:num>
  <w:num w:numId="28">
    <w:abstractNumId w:val="15"/>
  </w:num>
  <w:num w:numId="29">
    <w:abstractNumId w:val="17"/>
  </w:num>
  <w:num w:numId="30">
    <w:abstractNumId w:val="7"/>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30E0"/>
    <w:rsid w:val="00003890"/>
    <w:rsid w:val="00006FE3"/>
    <w:rsid w:val="00011244"/>
    <w:rsid w:val="00011E40"/>
    <w:rsid w:val="0001215D"/>
    <w:rsid w:val="00013985"/>
    <w:rsid w:val="00016D1A"/>
    <w:rsid w:val="00016FA7"/>
    <w:rsid w:val="00022574"/>
    <w:rsid w:val="00023BF7"/>
    <w:rsid w:val="000247A9"/>
    <w:rsid w:val="00030A72"/>
    <w:rsid w:val="00030B5D"/>
    <w:rsid w:val="00031471"/>
    <w:rsid w:val="000325E1"/>
    <w:rsid w:val="00034B83"/>
    <w:rsid w:val="000364C3"/>
    <w:rsid w:val="00036BB3"/>
    <w:rsid w:val="00040377"/>
    <w:rsid w:val="00042D9A"/>
    <w:rsid w:val="00043358"/>
    <w:rsid w:val="000479D5"/>
    <w:rsid w:val="00050BD6"/>
    <w:rsid w:val="00050E94"/>
    <w:rsid w:val="00051B59"/>
    <w:rsid w:val="00054D1B"/>
    <w:rsid w:val="0005584C"/>
    <w:rsid w:val="00057672"/>
    <w:rsid w:val="000661DA"/>
    <w:rsid w:val="00071151"/>
    <w:rsid w:val="000721D3"/>
    <w:rsid w:val="00074F47"/>
    <w:rsid w:val="00075E1E"/>
    <w:rsid w:val="00077FD9"/>
    <w:rsid w:val="00080E83"/>
    <w:rsid w:val="0008343E"/>
    <w:rsid w:val="00083A87"/>
    <w:rsid w:val="00086BBB"/>
    <w:rsid w:val="00087045"/>
    <w:rsid w:val="00087CC0"/>
    <w:rsid w:val="00090377"/>
    <w:rsid w:val="00092C4D"/>
    <w:rsid w:val="00093D50"/>
    <w:rsid w:val="00094C3C"/>
    <w:rsid w:val="00095E08"/>
    <w:rsid w:val="000A00F2"/>
    <w:rsid w:val="000A20CA"/>
    <w:rsid w:val="000A6007"/>
    <w:rsid w:val="000A6544"/>
    <w:rsid w:val="000B0968"/>
    <w:rsid w:val="000B0F05"/>
    <w:rsid w:val="000B484C"/>
    <w:rsid w:val="000B56C1"/>
    <w:rsid w:val="000B7672"/>
    <w:rsid w:val="000B794A"/>
    <w:rsid w:val="000C22A9"/>
    <w:rsid w:val="000C3853"/>
    <w:rsid w:val="000C3A47"/>
    <w:rsid w:val="000C3EC0"/>
    <w:rsid w:val="000C6967"/>
    <w:rsid w:val="000D1708"/>
    <w:rsid w:val="000D1F2B"/>
    <w:rsid w:val="000D4650"/>
    <w:rsid w:val="000D5C0B"/>
    <w:rsid w:val="000D62A9"/>
    <w:rsid w:val="000E1EEF"/>
    <w:rsid w:val="000E2808"/>
    <w:rsid w:val="000E2845"/>
    <w:rsid w:val="000E28BE"/>
    <w:rsid w:val="000E5C42"/>
    <w:rsid w:val="000E6768"/>
    <w:rsid w:val="000F15CC"/>
    <w:rsid w:val="000F659C"/>
    <w:rsid w:val="000F6688"/>
    <w:rsid w:val="000F7D4D"/>
    <w:rsid w:val="00100B13"/>
    <w:rsid w:val="00101539"/>
    <w:rsid w:val="00104087"/>
    <w:rsid w:val="0010692E"/>
    <w:rsid w:val="00106BE7"/>
    <w:rsid w:val="001077F8"/>
    <w:rsid w:val="00110733"/>
    <w:rsid w:val="001119E7"/>
    <w:rsid w:val="00111F0E"/>
    <w:rsid w:val="00114096"/>
    <w:rsid w:val="00115242"/>
    <w:rsid w:val="001156E7"/>
    <w:rsid w:val="00116021"/>
    <w:rsid w:val="001162B9"/>
    <w:rsid w:val="0011671B"/>
    <w:rsid w:val="00117B80"/>
    <w:rsid w:val="001202FE"/>
    <w:rsid w:val="001207A0"/>
    <w:rsid w:val="00121151"/>
    <w:rsid w:val="00121799"/>
    <w:rsid w:val="00121A0B"/>
    <w:rsid w:val="00122FD3"/>
    <w:rsid w:val="00123A9D"/>
    <w:rsid w:val="00125DAF"/>
    <w:rsid w:val="00130DD3"/>
    <w:rsid w:val="0013333F"/>
    <w:rsid w:val="00134830"/>
    <w:rsid w:val="001367E1"/>
    <w:rsid w:val="0014173C"/>
    <w:rsid w:val="00141753"/>
    <w:rsid w:val="00142054"/>
    <w:rsid w:val="00143158"/>
    <w:rsid w:val="00144E42"/>
    <w:rsid w:val="001510FF"/>
    <w:rsid w:val="0015162B"/>
    <w:rsid w:val="00151DF1"/>
    <w:rsid w:val="00153491"/>
    <w:rsid w:val="001540FE"/>
    <w:rsid w:val="001626DE"/>
    <w:rsid w:val="001719B4"/>
    <w:rsid w:val="00174647"/>
    <w:rsid w:val="00175053"/>
    <w:rsid w:val="00180499"/>
    <w:rsid w:val="00180B7A"/>
    <w:rsid w:val="00180DC3"/>
    <w:rsid w:val="0018141F"/>
    <w:rsid w:val="001832BB"/>
    <w:rsid w:val="00185C41"/>
    <w:rsid w:val="0018668E"/>
    <w:rsid w:val="001870A6"/>
    <w:rsid w:val="00191E03"/>
    <w:rsid w:val="00191FEF"/>
    <w:rsid w:val="00193350"/>
    <w:rsid w:val="00195CDC"/>
    <w:rsid w:val="00196F91"/>
    <w:rsid w:val="001A21A3"/>
    <w:rsid w:val="001A4690"/>
    <w:rsid w:val="001A4720"/>
    <w:rsid w:val="001A4840"/>
    <w:rsid w:val="001A5F52"/>
    <w:rsid w:val="001A6E8E"/>
    <w:rsid w:val="001B1D57"/>
    <w:rsid w:val="001B28AB"/>
    <w:rsid w:val="001B5E19"/>
    <w:rsid w:val="001B71CD"/>
    <w:rsid w:val="001C3393"/>
    <w:rsid w:val="001C3C2B"/>
    <w:rsid w:val="001C52C7"/>
    <w:rsid w:val="001C7219"/>
    <w:rsid w:val="001C772F"/>
    <w:rsid w:val="001C7A24"/>
    <w:rsid w:val="001D0669"/>
    <w:rsid w:val="001D1966"/>
    <w:rsid w:val="001D3477"/>
    <w:rsid w:val="001D39CC"/>
    <w:rsid w:val="001D55CC"/>
    <w:rsid w:val="001D5AA2"/>
    <w:rsid w:val="001D68E6"/>
    <w:rsid w:val="001D7D99"/>
    <w:rsid w:val="001E2E89"/>
    <w:rsid w:val="001E3F45"/>
    <w:rsid w:val="001E57DC"/>
    <w:rsid w:val="001F0A87"/>
    <w:rsid w:val="001F0F68"/>
    <w:rsid w:val="001F1CF3"/>
    <w:rsid w:val="001F2048"/>
    <w:rsid w:val="001F2652"/>
    <w:rsid w:val="002030F2"/>
    <w:rsid w:val="00203DB1"/>
    <w:rsid w:val="00206732"/>
    <w:rsid w:val="00207516"/>
    <w:rsid w:val="00207CD4"/>
    <w:rsid w:val="00207D4B"/>
    <w:rsid w:val="00211657"/>
    <w:rsid w:val="00213B61"/>
    <w:rsid w:val="00214084"/>
    <w:rsid w:val="00215F54"/>
    <w:rsid w:val="0021630D"/>
    <w:rsid w:val="00216DA7"/>
    <w:rsid w:val="002222B4"/>
    <w:rsid w:val="002227F5"/>
    <w:rsid w:val="00222875"/>
    <w:rsid w:val="0023037E"/>
    <w:rsid w:val="00231EA3"/>
    <w:rsid w:val="00232345"/>
    <w:rsid w:val="002362F2"/>
    <w:rsid w:val="00236F47"/>
    <w:rsid w:val="0023722A"/>
    <w:rsid w:val="00242633"/>
    <w:rsid w:val="00244AD4"/>
    <w:rsid w:val="00245211"/>
    <w:rsid w:val="002509B7"/>
    <w:rsid w:val="00251F7D"/>
    <w:rsid w:val="002522A6"/>
    <w:rsid w:val="00252AE3"/>
    <w:rsid w:val="002533F8"/>
    <w:rsid w:val="002536AA"/>
    <w:rsid w:val="002549E3"/>
    <w:rsid w:val="00254CEA"/>
    <w:rsid w:val="00255902"/>
    <w:rsid w:val="002563EC"/>
    <w:rsid w:val="00260B24"/>
    <w:rsid w:val="002623D0"/>
    <w:rsid w:val="002626D8"/>
    <w:rsid w:val="00262F5D"/>
    <w:rsid w:val="002638FA"/>
    <w:rsid w:val="00263DB5"/>
    <w:rsid w:val="0026410A"/>
    <w:rsid w:val="002718C8"/>
    <w:rsid w:val="00271A0A"/>
    <w:rsid w:val="002726B8"/>
    <w:rsid w:val="00275C91"/>
    <w:rsid w:val="00276164"/>
    <w:rsid w:val="00277027"/>
    <w:rsid w:val="0028083B"/>
    <w:rsid w:val="0029067B"/>
    <w:rsid w:val="002912E7"/>
    <w:rsid w:val="00291B9B"/>
    <w:rsid w:val="002941B5"/>
    <w:rsid w:val="00294803"/>
    <w:rsid w:val="00294FF3"/>
    <w:rsid w:val="00297C6A"/>
    <w:rsid w:val="002A08A2"/>
    <w:rsid w:val="002A11AD"/>
    <w:rsid w:val="002A2865"/>
    <w:rsid w:val="002A2D72"/>
    <w:rsid w:val="002A3CE0"/>
    <w:rsid w:val="002A4245"/>
    <w:rsid w:val="002A50C7"/>
    <w:rsid w:val="002A741D"/>
    <w:rsid w:val="002B0227"/>
    <w:rsid w:val="002B039E"/>
    <w:rsid w:val="002B1DA7"/>
    <w:rsid w:val="002B3F04"/>
    <w:rsid w:val="002B3F49"/>
    <w:rsid w:val="002C1444"/>
    <w:rsid w:val="002C44EF"/>
    <w:rsid w:val="002C5E47"/>
    <w:rsid w:val="002C7A85"/>
    <w:rsid w:val="002C7B6A"/>
    <w:rsid w:val="002D044E"/>
    <w:rsid w:val="002D2A66"/>
    <w:rsid w:val="002D2D09"/>
    <w:rsid w:val="002D3ECD"/>
    <w:rsid w:val="002D5FD7"/>
    <w:rsid w:val="002D6BEA"/>
    <w:rsid w:val="002E0323"/>
    <w:rsid w:val="002E0761"/>
    <w:rsid w:val="002E357C"/>
    <w:rsid w:val="002E4C7C"/>
    <w:rsid w:val="002E547D"/>
    <w:rsid w:val="002E5BE7"/>
    <w:rsid w:val="002E5D16"/>
    <w:rsid w:val="002E65A2"/>
    <w:rsid w:val="002E724D"/>
    <w:rsid w:val="002E7AC2"/>
    <w:rsid w:val="002F0156"/>
    <w:rsid w:val="002F1538"/>
    <w:rsid w:val="002F6EAE"/>
    <w:rsid w:val="002F7169"/>
    <w:rsid w:val="00302C78"/>
    <w:rsid w:val="003032AE"/>
    <w:rsid w:val="00303BA8"/>
    <w:rsid w:val="00303E26"/>
    <w:rsid w:val="003040A6"/>
    <w:rsid w:val="0030450E"/>
    <w:rsid w:val="003057C3"/>
    <w:rsid w:val="00307282"/>
    <w:rsid w:val="003102EF"/>
    <w:rsid w:val="00310CCF"/>
    <w:rsid w:val="00315759"/>
    <w:rsid w:val="00320392"/>
    <w:rsid w:val="00327CDF"/>
    <w:rsid w:val="00327EB1"/>
    <w:rsid w:val="00331294"/>
    <w:rsid w:val="0033295D"/>
    <w:rsid w:val="00334658"/>
    <w:rsid w:val="003354DA"/>
    <w:rsid w:val="00335937"/>
    <w:rsid w:val="00336A0D"/>
    <w:rsid w:val="00336C17"/>
    <w:rsid w:val="0034074F"/>
    <w:rsid w:val="00342685"/>
    <w:rsid w:val="00344AC6"/>
    <w:rsid w:val="00345C23"/>
    <w:rsid w:val="00346F0B"/>
    <w:rsid w:val="00351542"/>
    <w:rsid w:val="003520CE"/>
    <w:rsid w:val="00352605"/>
    <w:rsid w:val="003537F8"/>
    <w:rsid w:val="0035588B"/>
    <w:rsid w:val="0035628E"/>
    <w:rsid w:val="00360EEE"/>
    <w:rsid w:val="00364FA9"/>
    <w:rsid w:val="0036514B"/>
    <w:rsid w:val="0036607D"/>
    <w:rsid w:val="00366519"/>
    <w:rsid w:val="00367C3E"/>
    <w:rsid w:val="00370F8E"/>
    <w:rsid w:val="003716E6"/>
    <w:rsid w:val="00372DE6"/>
    <w:rsid w:val="003768CD"/>
    <w:rsid w:val="0037775D"/>
    <w:rsid w:val="00380795"/>
    <w:rsid w:val="003866CC"/>
    <w:rsid w:val="00386E22"/>
    <w:rsid w:val="003877CB"/>
    <w:rsid w:val="00390A96"/>
    <w:rsid w:val="0039531D"/>
    <w:rsid w:val="003A15E9"/>
    <w:rsid w:val="003A190D"/>
    <w:rsid w:val="003A2B6D"/>
    <w:rsid w:val="003A52A8"/>
    <w:rsid w:val="003A544F"/>
    <w:rsid w:val="003B157C"/>
    <w:rsid w:val="003B4C10"/>
    <w:rsid w:val="003C4AB5"/>
    <w:rsid w:val="003C4C1D"/>
    <w:rsid w:val="003C5377"/>
    <w:rsid w:val="003C537D"/>
    <w:rsid w:val="003C64E5"/>
    <w:rsid w:val="003D3E13"/>
    <w:rsid w:val="003D44EE"/>
    <w:rsid w:val="003D4981"/>
    <w:rsid w:val="003D71EA"/>
    <w:rsid w:val="003E1570"/>
    <w:rsid w:val="003E19B0"/>
    <w:rsid w:val="003E3241"/>
    <w:rsid w:val="003E3805"/>
    <w:rsid w:val="003E3B61"/>
    <w:rsid w:val="003E5673"/>
    <w:rsid w:val="003E5C54"/>
    <w:rsid w:val="003E6636"/>
    <w:rsid w:val="003E7EE3"/>
    <w:rsid w:val="003F1C32"/>
    <w:rsid w:val="003F3F36"/>
    <w:rsid w:val="00400384"/>
    <w:rsid w:val="00400B2A"/>
    <w:rsid w:val="0040130C"/>
    <w:rsid w:val="0040168F"/>
    <w:rsid w:val="00407BA1"/>
    <w:rsid w:val="00412D85"/>
    <w:rsid w:val="00417FDF"/>
    <w:rsid w:val="004226A0"/>
    <w:rsid w:val="00423498"/>
    <w:rsid w:val="00424335"/>
    <w:rsid w:val="004250AE"/>
    <w:rsid w:val="00425514"/>
    <w:rsid w:val="00430ACE"/>
    <w:rsid w:val="00431D69"/>
    <w:rsid w:val="0043350D"/>
    <w:rsid w:val="004351F7"/>
    <w:rsid w:val="00436A35"/>
    <w:rsid w:val="004370C7"/>
    <w:rsid w:val="00437221"/>
    <w:rsid w:val="00437EFB"/>
    <w:rsid w:val="00440E94"/>
    <w:rsid w:val="004426A9"/>
    <w:rsid w:val="004471DF"/>
    <w:rsid w:val="00450CE8"/>
    <w:rsid w:val="00451BFB"/>
    <w:rsid w:val="00452E3E"/>
    <w:rsid w:val="0045307A"/>
    <w:rsid w:val="00454A7B"/>
    <w:rsid w:val="00462921"/>
    <w:rsid w:val="004629AB"/>
    <w:rsid w:val="00465466"/>
    <w:rsid w:val="00465632"/>
    <w:rsid w:val="004675D0"/>
    <w:rsid w:val="00467C82"/>
    <w:rsid w:val="0047184A"/>
    <w:rsid w:val="00471EB6"/>
    <w:rsid w:val="00472253"/>
    <w:rsid w:val="00473151"/>
    <w:rsid w:val="00474ADE"/>
    <w:rsid w:val="00475201"/>
    <w:rsid w:val="0047796E"/>
    <w:rsid w:val="00477A87"/>
    <w:rsid w:val="004806C4"/>
    <w:rsid w:val="00482172"/>
    <w:rsid w:val="0048235F"/>
    <w:rsid w:val="0048317D"/>
    <w:rsid w:val="00484380"/>
    <w:rsid w:val="00484BA7"/>
    <w:rsid w:val="004851A9"/>
    <w:rsid w:val="00487A54"/>
    <w:rsid w:val="0049048D"/>
    <w:rsid w:val="004914D9"/>
    <w:rsid w:val="00493FFE"/>
    <w:rsid w:val="004944D1"/>
    <w:rsid w:val="00496525"/>
    <w:rsid w:val="00496684"/>
    <w:rsid w:val="00496D08"/>
    <w:rsid w:val="00497352"/>
    <w:rsid w:val="0049742E"/>
    <w:rsid w:val="004A2814"/>
    <w:rsid w:val="004A4A1A"/>
    <w:rsid w:val="004A60B5"/>
    <w:rsid w:val="004A6EFA"/>
    <w:rsid w:val="004B07A1"/>
    <w:rsid w:val="004B3E9E"/>
    <w:rsid w:val="004B4D64"/>
    <w:rsid w:val="004C2B15"/>
    <w:rsid w:val="004D10E9"/>
    <w:rsid w:val="004D2534"/>
    <w:rsid w:val="004D3AD5"/>
    <w:rsid w:val="004D3CCE"/>
    <w:rsid w:val="004D5474"/>
    <w:rsid w:val="004E08E7"/>
    <w:rsid w:val="004E3149"/>
    <w:rsid w:val="004E4A52"/>
    <w:rsid w:val="004E5965"/>
    <w:rsid w:val="004E61A9"/>
    <w:rsid w:val="004E7CB4"/>
    <w:rsid w:val="004F22C5"/>
    <w:rsid w:val="004F411A"/>
    <w:rsid w:val="004F4A77"/>
    <w:rsid w:val="004F652A"/>
    <w:rsid w:val="005007CC"/>
    <w:rsid w:val="00502CBB"/>
    <w:rsid w:val="00503251"/>
    <w:rsid w:val="0050339E"/>
    <w:rsid w:val="00503B12"/>
    <w:rsid w:val="0050651F"/>
    <w:rsid w:val="00506E60"/>
    <w:rsid w:val="00511C8D"/>
    <w:rsid w:val="005136EA"/>
    <w:rsid w:val="00514403"/>
    <w:rsid w:val="00514822"/>
    <w:rsid w:val="00514A1E"/>
    <w:rsid w:val="005179B5"/>
    <w:rsid w:val="00521F0B"/>
    <w:rsid w:val="00522C1C"/>
    <w:rsid w:val="00525F66"/>
    <w:rsid w:val="00526A0B"/>
    <w:rsid w:val="005273D8"/>
    <w:rsid w:val="00527F60"/>
    <w:rsid w:val="00530645"/>
    <w:rsid w:val="005344DE"/>
    <w:rsid w:val="00535020"/>
    <w:rsid w:val="0053533A"/>
    <w:rsid w:val="00536264"/>
    <w:rsid w:val="00541E98"/>
    <w:rsid w:val="005424EC"/>
    <w:rsid w:val="00544B9A"/>
    <w:rsid w:val="00545759"/>
    <w:rsid w:val="00547B02"/>
    <w:rsid w:val="005506C4"/>
    <w:rsid w:val="00552CEB"/>
    <w:rsid w:val="00552FC0"/>
    <w:rsid w:val="00553035"/>
    <w:rsid w:val="00554D4B"/>
    <w:rsid w:val="005553CA"/>
    <w:rsid w:val="005562C7"/>
    <w:rsid w:val="00557846"/>
    <w:rsid w:val="00557FA0"/>
    <w:rsid w:val="005632FC"/>
    <w:rsid w:val="00570B7E"/>
    <w:rsid w:val="005771DA"/>
    <w:rsid w:val="00583F20"/>
    <w:rsid w:val="0058632C"/>
    <w:rsid w:val="00590A15"/>
    <w:rsid w:val="00592D5F"/>
    <w:rsid w:val="00594883"/>
    <w:rsid w:val="00597388"/>
    <w:rsid w:val="005A0D78"/>
    <w:rsid w:val="005A1218"/>
    <w:rsid w:val="005A279C"/>
    <w:rsid w:val="005A4C06"/>
    <w:rsid w:val="005A4F0C"/>
    <w:rsid w:val="005A50BB"/>
    <w:rsid w:val="005A567C"/>
    <w:rsid w:val="005A6934"/>
    <w:rsid w:val="005A7F25"/>
    <w:rsid w:val="005B052E"/>
    <w:rsid w:val="005B0BE0"/>
    <w:rsid w:val="005B307E"/>
    <w:rsid w:val="005B3E03"/>
    <w:rsid w:val="005B66DF"/>
    <w:rsid w:val="005B6B2D"/>
    <w:rsid w:val="005C0616"/>
    <w:rsid w:val="005C1D41"/>
    <w:rsid w:val="005C2308"/>
    <w:rsid w:val="005C286D"/>
    <w:rsid w:val="005C4229"/>
    <w:rsid w:val="005C6FC6"/>
    <w:rsid w:val="005C70BE"/>
    <w:rsid w:val="005D06D8"/>
    <w:rsid w:val="005D0740"/>
    <w:rsid w:val="005D3D19"/>
    <w:rsid w:val="005D4159"/>
    <w:rsid w:val="005D4704"/>
    <w:rsid w:val="005D6094"/>
    <w:rsid w:val="005D634E"/>
    <w:rsid w:val="005E1C31"/>
    <w:rsid w:val="005E2C32"/>
    <w:rsid w:val="005E30C0"/>
    <w:rsid w:val="005E3EE0"/>
    <w:rsid w:val="005E537A"/>
    <w:rsid w:val="005E6215"/>
    <w:rsid w:val="005E6835"/>
    <w:rsid w:val="005E6953"/>
    <w:rsid w:val="005E756A"/>
    <w:rsid w:val="005F0278"/>
    <w:rsid w:val="005F042F"/>
    <w:rsid w:val="005F0B46"/>
    <w:rsid w:val="005F1299"/>
    <w:rsid w:val="005F1E62"/>
    <w:rsid w:val="005F4321"/>
    <w:rsid w:val="005F463D"/>
    <w:rsid w:val="005F5A17"/>
    <w:rsid w:val="005F65A1"/>
    <w:rsid w:val="005F7167"/>
    <w:rsid w:val="00601977"/>
    <w:rsid w:val="00603F44"/>
    <w:rsid w:val="00604702"/>
    <w:rsid w:val="00605029"/>
    <w:rsid w:val="00605186"/>
    <w:rsid w:val="00605E9D"/>
    <w:rsid w:val="00613454"/>
    <w:rsid w:val="006160AA"/>
    <w:rsid w:val="00621ADF"/>
    <w:rsid w:val="00623D61"/>
    <w:rsid w:val="00625164"/>
    <w:rsid w:val="00626F91"/>
    <w:rsid w:val="006270B9"/>
    <w:rsid w:val="006273E9"/>
    <w:rsid w:val="0063034B"/>
    <w:rsid w:val="006310A6"/>
    <w:rsid w:val="00632F44"/>
    <w:rsid w:val="00634B04"/>
    <w:rsid w:val="006350FF"/>
    <w:rsid w:val="00636E7B"/>
    <w:rsid w:val="00641F9C"/>
    <w:rsid w:val="006424E6"/>
    <w:rsid w:val="00643105"/>
    <w:rsid w:val="0064481C"/>
    <w:rsid w:val="00644C2A"/>
    <w:rsid w:val="00644E02"/>
    <w:rsid w:val="00646E26"/>
    <w:rsid w:val="00647E14"/>
    <w:rsid w:val="00647F32"/>
    <w:rsid w:val="00654B3F"/>
    <w:rsid w:val="00655BC0"/>
    <w:rsid w:val="006564AD"/>
    <w:rsid w:val="006604F7"/>
    <w:rsid w:val="00660A62"/>
    <w:rsid w:val="00662711"/>
    <w:rsid w:val="00663BF9"/>
    <w:rsid w:val="00664535"/>
    <w:rsid w:val="0066511D"/>
    <w:rsid w:val="00665AA3"/>
    <w:rsid w:val="00667220"/>
    <w:rsid w:val="0067065F"/>
    <w:rsid w:val="00671632"/>
    <w:rsid w:val="00671740"/>
    <w:rsid w:val="006723B5"/>
    <w:rsid w:val="00674C80"/>
    <w:rsid w:val="00675690"/>
    <w:rsid w:val="00675E0D"/>
    <w:rsid w:val="00676183"/>
    <w:rsid w:val="006776AF"/>
    <w:rsid w:val="00677DE4"/>
    <w:rsid w:val="00680EFF"/>
    <w:rsid w:val="00684722"/>
    <w:rsid w:val="006871DB"/>
    <w:rsid w:val="006876D1"/>
    <w:rsid w:val="00687823"/>
    <w:rsid w:val="00694903"/>
    <w:rsid w:val="00696027"/>
    <w:rsid w:val="00697D38"/>
    <w:rsid w:val="006A4069"/>
    <w:rsid w:val="006A5089"/>
    <w:rsid w:val="006A5499"/>
    <w:rsid w:val="006A6497"/>
    <w:rsid w:val="006A6753"/>
    <w:rsid w:val="006A6857"/>
    <w:rsid w:val="006A693E"/>
    <w:rsid w:val="006A7801"/>
    <w:rsid w:val="006B081D"/>
    <w:rsid w:val="006B14B3"/>
    <w:rsid w:val="006B1A31"/>
    <w:rsid w:val="006B4CB5"/>
    <w:rsid w:val="006B7D16"/>
    <w:rsid w:val="006C0E91"/>
    <w:rsid w:val="006C2241"/>
    <w:rsid w:val="006C63D1"/>
    <w:rsid w:val="006C6DDD"/>
    <w:rsid w:val="006D1B89"/>
    <w:rsid w:val="006D56AB"/>
    <w:rsid w:val="006D56AF"/>
    <w:rsid w:val="006E11E6"/>
    <w:rsid w:val="006E4017"/>
    <w:rsid w:val="006E44E0"/>
    <w:rsid w:val="006E51D6"/>
    <w:rsid w:val="006E6258"/>
    <w:rsid w:val="006E6317"/>
    <w:rsid w:val="006E71A2"/>
    <w:rsid w:val="006E77F3"/>
    <w:rsid w:val="006E7A90"/>
    <w:rsid w:val="006F0A6B"/>
    <w:rsid w:val="006F51B4"/>
    <w:rsid w:val="006F5962"/>
    <w:rsid w:val="007018FA"/>
    <w:rsid w:val="0070207C"/>
    <w:rsid w:val="007031F3"/>
    <w:rsid w:val="00705D34"/>
    <w:rsid w:val="007060C8"/>
    <w:rsid w:val="00706616"/>
    <w:rsid w:val="007069B6"/>
    <w:rsid w:val="00707D0B"/>
    <w:rsid w:val="007105C9"/>
    <w:rsid w:val="0071285E"/>
    <w:rsid w:val="007132A7"/>
    <w:rsid w:val="007143A0"/>
    <w:rsid w:val="00714BC6"/>
    <w:rsid w:val="00714FE3"/>
    <w:rsid w:val="00715BEF"/>
    <w:rsid w:val="00715EAC"/>
    <w:rsid w:val="00717A72"/>
    <w:rsid w:val="00720C65"/>
    <w:rsid w:val="00723334"/>
    <w:rsid w:val="00724B7C"/>
    <w:rsid w:val="007269A9"/>
    <w:rsid w:val="00732995"/>
    <w:rsid w:val="0073487C"/>
    <w:rsid w:val="00734EAB"/>
    <w:rsid w:val="007367E8"/>
    <w:rsid w:val="007470AA"/>
    <w:rsid w:val="00750FEE"/>
    <w:rsid w:val="00752A0F"/>
    <w:rsid w:val="00754D9D"/>
    <w:rsid w:val="00755A2F"/>
    <w:rsid w:val="00761B35"/>
    <w:rsid w:val="00761BEF"/>
    <w:rsid w:val="007636A3"/>
    <w:rsid w:val="007659E2"/>
    <w:rsid w:val="00766885"/>
    <w:rsid w:val="00770194"/>
    <w:rsid w:val="00770846"/>
    <w:rsid w:val="00772BB7"/>
    <w:rsid w:val="0077561B"/>
    <w:rsid w:val="00775A7B"/>
    <w:rsid w:val="00781AB5"/>
    <w:rsid w:val="00783657"/>
    <w:rsid w:val="007838EA"/>
    <w:rsid w:val="0078417B"/>
    <w:rsid w:val="007844DF"/>
    <w:rsid w:val="00784955"/>
    <w:rsid w:val="00784F91"/>
    <w:rsid w:val="00785721"/>
    <w:rsid w:val="007867D0"/>
    <w:rsid w:val="007905BD"/>
    <w:rsid w:val="007954F5"/>
    <w:rsid w:val="00796491"/>
    <w:rsid w:val="007970F8"/>
    <w:rsid w:val="007978A3"/>
    <w:rsid w:val="00797B3A"/>
    <w:rsid w:val="007A3BE0"/>
    <w:rsid w:val="007A3E6A"/>
    <w:rsid w:val="007A4DC2"/>
    <w:rsid w:val="007A620C"/>
    <w:rsid w:val="007B77CB"/>
    <w:rsid w:val="007C0AAC"/>
    <w:rsid w:val="007C12DA"/>
    <w:rsid w:val="007C29DC"/>
    <w:rsid w:val="007C3C7B"/>
    <w:rsid w:val="007C5094"/>
    <w:rsid w:val="007C6A7A"/>
    <w:rsid w:val="007C721D"/>
    <w:rsid w:val="007D512F"/>
    <w:rsid w:val="007D59BF"/>
    <w:rsid w:val="007D5D21"/>
    <w:rsid w:val="007E15CE"/>
    <w:rsid w:val="007E2FB6"/>
    <w:rsid w:val="007F0858"/>
    <w:rsid w:val="007F382A"/>
    <w:rsid w:val="007F399C"/>
    <w:rsid w:val="0080251B"/>
    <w:rsid w:val="00804499"/>
    <w:rsid w:val="00805F26"/>
    <w:rsid w:val="00807BBB"/>
    <w:rsid w:val="00817523"/>
    <w:rsid w:val="00820644"/>
    <w:rsid w:val="00823762"/>
    <w:rsid w:val="00825F4E"/>
    <w:rsid w:val="00827816"/>
    <w:rsid w:val="00830699"/>
    <w:rsid w:val="008327BC"/>
    <w:rsid w:val="00835028"/>
    <w:rsid w:val="00835E10"/>
    <w:rsid w:val="00836A54"/>
    <w:rsid w:val="00837D7F"/>
    <w:rsid w:val="00840885"/>
    <w:rsid w:val="00843118"/>
    <w:rsid w:val="00845F18"/>
    <w:rsid w:val="008475DA"/>
    <w:rsid w:val="00851259"/>
    <w:rsid w:val="0085334C"/>
    <w:rsid w:val="00853826"/>
    <w:rsid w:val="00853C8A"/>
    <w:rsid w:val="00856433"/>
    <w:rsid w:val="00856B4E"/>
    <w:rsid w:val="0085777B"/>
    <w:rsid w:val="00862F88"/>
    <w:rsid w:val="0086581C"/>
    <w:rsid w:val="00867C9D"/>
    <w:rsid w:val="008738BE"/>
    <w:rsid w:val="00875307"/>
    <w:rsid w:val="00876C63"/>
    <w:rsid w:val="00877814"/>
    <w:rsid w:val="00881DA8"/>
    <w:rsid w:val="00882ED2"/>
    <w:rsid w:val="008831E3"/>
    <w:rsid w:val="00883DAD"/>
    <w:rsid w:val="0088452D"/>
    <w:rsid w:val="00884F3E"/>
    <w:rsid w:val="00885436"/>
    <w:rsid w:val="00886286"/>
    <w:rsid w:val="008869F5"/>
    <w:rsid w:val="00886D89"/>
    <w:rsid w:val="00887A11"/>
    <w:rsid w:val="008913CB"/>
    <w:rsid w:val="00892266"/>
    <w:rsid w:val="00893509"/>
    <w:rsid w:val="00893D14"/>
    <w:rsid w:val="00896715"/>
    <w:rsid w:val="00897FD1"/>
    <w:rsid w:val="008A1783"/>
    <w:rsid w:val="008A64D8"/>
    <w:rsid w:val="008A6D97"/>
    <w:rsid w:val="008B0EEB"/>
    <w:rsid w:val="008B13A0"/>
    <w:rsid w:val="008B4F4A"/>
    <w:rsid w:val="008C09F8"/>
    <w:rsid w:val="008C1209"/>
    <w:rsid w:val="008D6373"/>
    <w:rsid w:val="008D709D"/>
    <w:rsid w:val="008E4D74"/>
    <w:rsid w:val="008E5D5D"/>
    <w:rsid w:val="008F0943"/>
    <w:rsid w:val="008F2496"/>
    <w:rsid w:val="008F3E25"/>
    <w:rsid w:val="008F5F13"/>
    <w:rsid w:val="008F6B76"/>
    <w:rsid w:val="0090060B"/>
    <w:rsid w:val="00900C31"/>
    <w:rsid w:val="00900E1B"/>
    <w:rsid w:val="00902458"/>
    <w:rsid w:val="0091267A"/>
    <w:rsid w:val="00912BEA"/>
    <w:rsid w:val="00917302"/>
    <w:rsid w:val="00925E3F"/>
    <w:rsid w:val="0092773B"/>
    <w:rsid w:val="00927A09"/>
    <w:rsid w:val="009312B8"/>
    <w:rsid w:val="00932ED2"/>
    <w:rsid w:val="00934776"/>
    <w:rsid w:val="00934B70"/>
    <w:rsid w:val="00934D6C"/>
    <w:rsid w:val="0093644B"/>
    <w:rsid w:val="00940681"/>
    <w:rsid w:val="00940696"/>
    <w:rsid w:val="00940E41"/>
    <w:rsid w:val="0094145A"/>
    <w:rsid w:val="009414B4"/>
    <w:rsid w:val="00941AE5"/>
    <w:rsid w:val="00942370"/>
    <w:rsid w:val="00942AA6"/>
    <w:rsid w:val="00943D9B"/>
    <w:rsid w:val="00951B2B"/>
    <w:rsid w:val="0095304F"/>
    <w:rsid w:val="00953CC1"/>
    <w:rsid w:val="00955776"/>
    <w:rsid w:val="00956AD9"/>
    <w:rsid w:val="00960F08"/>
    <w:rsid w:val="00961D60"/>
    <w:rsid w:val="0096217F"/>
    <w:rsid w:val="00962D33"/>
    <w:rsid w:val="0096455A"/>
    <w:rsid w:val="009710C8"/>
    <w:rsid w:val="009739FF"/>
    <w:rsid w:val="0097452F"/>
    <w:rsid w:val="00974B7D"/>
    <w:rsid w:val="009776FB"/>
    <w:rsid w:val="0097791C"/>
    <w:rsid w:val="00980384"/>
    <w:rsid w:val="00980BED"/>
    <w:rsid w:val="009856F6"/>
    <w:rsid w:val="009864E4"/>
    <w:rsid w:val="00995191"/>
    <w:rsid w:val="00995D33"/>
    <w:rsid w:val="00995EBD"/>
    <w:rsid w:val="0099746A"/>
    <w:rsid w:val="00997BA2"/>
    <w:rsid w:val="00997C60"/>
    <w:rsid w:val="00997CA9"/>
    <w:rsid w:val="009A0B93"/>
    <w:rsid w:val="009A283B"/>
    <w:rsid w:val="009A2BCD"/>
    <w:rsid w:val="009A3BFC"/>
    <w:rsid w:val="009A4C74"/>
    <w:rsid w:val="009A534C"/>
    <w:rsid w:val="009A5481"/>
    <w:rsid w:val="009A61AA"/>
    <w:rsid w:val="009B195F"/>
    <w:rsid w:val="009B31A3"/>
    <w:rsid w:val="009B6F7A"/>
    <w:rsid w:val="009B7AD6"/>
    <w:rsid w:val="009B7AEE"/>
    <w:rsid w:val="009C0094"/>
    <w:rsid w:val="009D2A10"/>
    <w:rsid w:val="009D391A"/>
    <w:rsid w:val="009D3E4B"/>
    <w:rsid w:val="009D433D"/>
    <w:rsid w:val="009D486F"/>
    <w:rsid w:val="009D76BA"/>
    <w:rsid w:val="009E13AE"/>
    <w:rsid w:val="009E1D7A"/>
    <w:rsid w:val="009E358F"/>
    <w:rsid w:val="009E4104"/>
    <w:rsid w:val="009E4791"/>
    <w:rsid w:val="009E4E97"/>
    <w:rsid w:val="009E521D"/>
    <w:rsid w:val="009E670C"/>
    <w:rsid w:val="009F0A37"/>
    <w:rsid w:val="009F1C08"/>
    <w:rsid w:val="009F1DED"/>
    <w:rsid w:val="009F61AA"/>
    <w:rsid w:val="009F7880"/>
    <w:rsid w:val="009F7C38"/>
    <w:rsid w:val="009F7EB2"/>
    <w:rsid w:val="00A00382"/>
    <w:rsid w:val="00A0120E"/>
    <w:rsid w:val="00A01665"/>
    <w:rsid w:val="00A02507"/>
    <w:rsid w:val="00A02A1E"/>
    <w:rsid w:val="00A036FA"/>
    <w:rsid w:val="00A10680"/>
    <w:rsid w:val="00A11664"/>
    <w:rsid w:val="00A1502D"/>
    <w:rsid w:val="00A15BB1"/>
    <w:rsid w:val="00A15E34"/>
    <w:rsid w:val="00A16E63"/>
    <w:rsid w:val="00A174E6"/>
    <w:rsid w:val="00A2147A"/>
    <w:rsid w:val="00A23210"/>
    <w:rsid w:val="00A233DF"/>
    <w:rsid w:val="00A248AC"/>
    <w:rsid w:val="00A248FC"/>
    <w:rsid w:val="00A250BF"/>
    <w:rsid w:val="00A3068E"/>
    <w:rsid w:val="00A32FCA"/>
    <w:rsid w:val="00A3782D"/>
    <w:rsid w:val="00A40EE3"/>
    <w:rsid w:val="00A40F6A"/>
    <w:rsid w:val="00A411B4"/>
    <w:rsid w:val="00A4122B"/>
    <w:rsid w:val="00A42026"/>
    <w:rsid w:val="00A428B0"/>
    <w:rsid w:val="00A46B3E"/>
    <w:rsid w:val="00A52BE3"/>
    <w:rsid w:val="00A54079"/>
    <w:rsid w:val="00A640EA"/>
    <w:rsid w:val="00A66737"/>
    <w:rsid w:val="00A67DD2"/>
    <w:rsid w:val="00A72148"/>
    <w:rsid w:val="00A72F52"/>
    <w:rsid w:val="00A74DEE"/>
    <w:rsid w:val="00A84E83"/>
    <w:rsid w:val="00A85E69"/>
    <w:rsid w:val="00A86B4E"/>
    <w:rsid w:val="00A86C4B"/>
    <w:rsid w:val="00A87348"/>
    <w:rsid w:val="00A92176"/>
    <w:rsid w:val="00A93D2C"/>
    <w:rsid w:val="00A95B9F"/>
    <w:rsid w:val="00A95C9B"/>
    <w:rsid w:val="00A96B30"/>
    <w:rsid w:val="00AA069B"/>
    <w:rsid w:val="00AA3DCA"/>
    <w:rsid w:val="00AA49B0"/>
    <w:rsid w:val="00AB08BA"/>
    <w:rsid w:val="00AB0E52"/>
    <w:rsid w:val="00AB16C7"/>
    <w:rsid w:val="00AB248A"/>
    <w:rsid w:val="00AB271A"/>
    <w:rsid w:val="00AC1761"/>
    <w:rsid w:val="00AC1AEA"/>
    <w:rsid w:val="00AC21B4"/>
    <w:rsid w:val="00AC6E96"/>
    <w:rsid w:val="00AC72FE"/>
    <w:rsid w:val="00AD1B5E"/>
    <w:rsid w:val="00AD2779"/>
    <w:rsid w:val="00AD2CEE"/>
    <w:rsid w:val="00AD4AFD"/>
    <w:rsid w:val="00AD6A4C"/>
    <w:rsid w:val="00AD7BDA"/>
    <w:rsid w:val="00AE060C"/>
    <w:rsid w:val="00AE063D"/>
    <w:rsid w:val="00AE0CBB"/>
    <w:rsid w:val="00AE4862"/>
    <w:rsid w:val="00AF0049"/>
    <w:rsid w:val="00AF4164"/>
    <w:rsid w:val="00AF5573"/>
    <w:rsid w:val="00B03487"/>
    <w:rsid w:val="00B03E0C"/>
    <w:rsid w:val="00B04F10"/>
    <w:rsid w:val="00B05244"/>
    <w:rsid w:val="00B05C15"/>
    <w:rsid w:val="00B0642D"/>
    <w:rsid w:val="00B114DA"/>
    <w:rsid w:val="00B12A6A"/>
    <w:rsid w:val="00B1531B"/>
    <w:rsid w:val="00B1609A"/>
    <w:rsid w:val="00B20E11"/>
    <w:rsid w:val="00B21B7F"/>
    <w:rsid w:val="00B221D2"/>
    <w:rsid w:val="00B24E0D"/>
    <w:rsid w:val="00B25184"/>
    <w:rsid w:val="00B2788D"/>
    <w:rsid w:val="00B32143"/>
    <w:rsid w:val="00B32975"/>
    <w:rsid w:val="00B32B11"/>
    <w:rsid w:val="00B33235"/>
    <w:rsid w:val="00B33D30"/>
    <w:rsid w:val="00B35611"/>
    <w:rsid w:val="00B35869"/>
    <w:rsid w:val="00B36DE6"/>
    <w:rsid w:val="00B406AE"/>
    <w:rsid w:val="00B41213"/>
    <w:rsid w:val="00B42FA9"/>
    <w:rsid w:val="00B4325B"/>
    <w:rsid w:val="00B45F92"/>
    <w:rsid w:val="00B47615"/>
    <w:rsid w:val="00B517E8"/>
    <w:rsid w:val="00B55884"/>
    <w:rsid w:val="00B57489"/>
    <w:rsid w:val="00B57611"/>
    <w:rsid w:val="00B60825"/>
    <w:rsid w:val="00B638C3"/>
    <w:rsid w:val="00B66CAD"/>
    <w:rsid w:val="00B7322F"/>
    <w:rsid w:val="00B7460D"/>
    <w:rsid w:val="00B751FD"/>
    <w:rsid w:val="00B75951"/>
    <w:rsid w:val="00B7644A"/>
    <w:rsid w:val="00B80D88"/>
    <w:rsid w:val="00B821AD"/>
    <w:rsid w:val="00B83F0A"/>
    <w:rsid w:val="00B84B76"/>
    <w:rsid w:val="00B850A9"/>
    <w:rsid w:val="00B86334"/>
    <w:rsid w:val="00B86BC0"/>
    <w:rsid w:val="00B902B5"/>
    <w:rsid w:val="00B941A9"/>
    <w:rsid w:val="00B950D5"/>
    <w:rsid w:val="00B96668"/>
    <w:rsid w:val="00BA0D1E"/>
    <w:rsid w:val="00BA14E1"/>
    <w:rsid w:val="00BA2878"/>
    <w:rsid w:val="00BA3457"/>
    <w:rsid w:val="00BA34C1"/>
    <w:rsid w:val="00BA608C"/>
    <w:rsid w:val="00BB483F"/>
    <w:rsid w:val="00BB4858"/>
    <w:rsid w:val="00BB5151"/>
    <w:rsid w:val="00BB578C"/>
    <w:rsid w:val="00BB7229"/>
    <w:rsid w:val="00BC0363"/>
    <w:rsid w:val="00BC0B22"/>
    <w:rsid w:val="00BC1677"/>
    <w:rsid w:val="00BC2B28"/>
    <w:rsid w:val="00BC6F4D"/>
    <w:rsid w:val="00BD1AFB"/>
    <w:rsid w:val="00BD226F"/>
    <w:rsid w:val="00BD3C81"/>
    <w:rsid w:val="00BD4A03"/>
    <w:rsid w:val="00BE0E82"/>
    <w:rsid w:val="00BE2546"/>
    <w:rsid w:val="00BE2AFB"/>
    <w:rsid w:val="00BE5CC8"/>
    <w:rsid w:val="00BF20C4"/>
    <w:rsid w:val="00BF22E5"/>
    <w:rsid w:val="00BF411B"/>
    <w:rsid w:val="00BF55D0"/>
    <w:rsid w:val="00BF5622"/>
    <w:rsid w:val="00BF75EE"/>
    <w:rsid w:val="00C02A8B"/>
    <w:rsid w:val="00C02C1C"/>
    <w:rsid w:val="00C030F4"/>
    <w:rsid w:val="00C03734"/>
    <w:rsid w:val="00C055B8"/>
    <w:rsid w:val="00C07EAB"/>
    <w:rsid w:val="00C101F1"/>
    <w:rsid w:val="00C11408"/>
    <w:rsid w:val="00C11D6F"/>
    <w:rsid w:val="00C12A43"/>
    <w:rsid w:val="00C13CC9"/>
    <w:rsid w:val="00C1425C"/>
    <w:rsid w:val="00C14529"/>
    <w:rsid w:val="00C15249"/>
    <w:rsid w:val="00C17754"/>
    <w:rsid w:val="00C20E2B"/>
    <w:rsid w:val="00C21F8D"/>
    <w:rsid w:val="00C23B8B"/>
    <w:rsid w:val="00C25DBA"/>
    <w:rsid w:val="00C26F22"/>
    <w:rsid w:val="00C27461"/>
    <w:rsid w:val="00C277A2"/>
    <w:rsid w:val="00C2799A"/>
    <w:rsid w:val="00C30AE1"/>
    <w:rsid w:val="00C310D5"/>
    <w:rsid w:val="00C31B9B"/>
    <w:rsid w:val="00C3557D"/>
    <w:rsid w:val="00C3776A"/>
    <w:rsid w:val="00C37937"/>
    <w:rsid w:val="00C379EE"/>
    <w:rsid w:val="00C37AB7"/>
    <w:rsid w:val="00C403E4"/>
    <w:rsid w:val="00C41CB4"/>
    <w:rsid w:val="00C41F06"/>
    <w:rsid w:val="00C429BF"/>
    <w:rsid w:val="00C43FB3"/>
    <w:rsid w:val="00C47BFF"/>
    <w:rsid w:val="00C51060"/>
    <w:rsid w:val="00C51B59"/>
    <w:rsid w:val="00C526A7"/>
    <w:rsid w:val="00C5612E"/>
    <w:rsid w:val="00C60183"/>
    <w:rsid w:val="00C6030D"/>
    <w:rsid w:val="00C61F50"/>
    <w:rsid w:val="00C639B0"/>
    <w:rsid w:val="00C65FBB"/>
    <w:rsid w:val="00C6622F"/>
    <w:rsid w:val="00C6797A"/>
    <w:rsid w:val="00C70DB6"/>
    <w:rsid w:val="00C86BCF"/>
    <w:rsid w:val="00C86E4E"/>
    <w:rsid w:val="00C9053B"/>
    <w:rsid w:val="00C90831"/>
    <w:rsid w:val="00C92497"/>
    <w:rsid w:val="00C935AC"/>
    <w:rsid w:val="00C95F7B"/>
    <w:rsid w:val="00C96B81"/>
    <w:rsid w:val="00C97C9D"/>
    <w:rsid w:val="00CA59B1"/>
    <w:rsid w:val="00CB3B43"/>
    <w:rsid w:val="00CB4621"/>
    <w:rsid w:val="00CB495F"/>
    <w:rsid w:val="00CB54D4"/>
    <w:rsid w:val="00CB655D"/>
    <w:rsid w:val="00CB725F"/>
    <w:rsid w:val="00CB79F7"/>
    <w:rsid w:val="00CC2328"/>
    <w:rsid w:val="00CC54BD"/>
    <w:rsid w:val="00CC7827"/>
    <w:rsid w:val="00CD02BD"/>
    <w:rsid w:val="00CD227C"/>
    <w:rsid w:val="00CD454F"/>
    <w:rsid w:val="00CD7727"/>
    <w:rsid w:val="00CD7F84"/>
    <w:rsid w:val="00CE30EF"/>
    <w:rsid w:val="00CE358F"/>
    <w:rsid w:val="00CE6C13"/>
    <w:rsid w:val="00CF0EF1"/>
    <w:rsid w:val="00CF3764"/>
    <w:rsid w:val="00CF4A56"/>
    <w:rsid w:val="00CF4DED"/>
    <w:rsid w:val="00D02294"/>
    <w:rsid w:val="00D03672"/>
    <w:rsid w:val="00D038D9"/>
    <w:rsid w:val="00D04269"/>
    <w:rsid w:val="00D10C69"/>
    <w:rsid w:val="00D11F25"/>
    <w:rsid w:val="00D14A3F"/>
    <w:rsid w:val="00D16CB3"/>
    <w:rsid w:val="00D332E2"/>
    <w:rsid w:val="00D333F5"/>
    <w:rsid w:val="00D35311"/>
    <w:rsid w:val="00D35BE0"/>
    <w:rsid w:val="00D40D83"/>
    <w:rsid w:val="00D445C6"/>
    <w:rsid w:val="00D4720D"/>
    <w:rsid w:val="00D553B8"/>
    <w:rsid w:val="00D55812"/>
    <w:rsid w:val="00D60358"/>
    <w:rsid w:val="00D63382"/>
    <w:rsid w:val="00D67B0C"/>
    <w:rsid w:val="00D71C9C"/>
    <w:rsid w:val="00D734E4"/>
    <w:rsid w:val="00D73958"/>
    <w:rsid w:val="00D754EC"/>
    <w:rsid w:val="00D756DC"/>
    <w:rsid w:val="00D81CF9"/>
    <w:rsid w:val="00D83744"/>
    <w:rsid w:val="00D85572"/>
    <w:rsid w:val="00D86C6B"/>
    <w:rsid w:val="00D87283"/>
    <w:rsid w:val="00D90C82"/>
    <w:rsid w:val="00D93E9D"/>
    <w:rsid w:val="00D94951"/>
    <w:rsid w:val="00D95727"/>
    <w:rsid w:val="00D95E42"/>
    <w:rsid w:val="00D97839"/>
    <w:rsid w:val="00DA0A1D"/>
    <w:rsid w:val="00DA15EC"/>
    <w:rsid w:val="00DA29A2"/>
    <w:rsid w:val="00DA4847"/>
    <w:rsid w:val="00DA6DB3"/>
    <w:rsid w:val="00DB15C1"/>
    <w:rsid w:val="00DB174D"/>
    <w:rsid w:val="00DB62F7"/>
    <w:rsid w:val="00DB6CF9"/>
    <w:rsid w:val="00DB6E07"/>
    <w:rsid w:val="00DB6E45"/>
    <w:rsid w:val="00DC483D"/>
    <w:rsid w:val="00DC5144"/>
    <w:rsid w:val="00DC68D9"/>
    <w:rsid w:val="00DD169C"/>
    <w:rsid w:val="00DD2E03"/>
    <w:rsid w:val="00DD2F67"/>
    <w:rsid w:val="00DD4080"/>
    <w:rsid w:val="00DD498A"/>
    <w:rsid w:val="00DD5AA4"/>
    <w:rsid w:val="00DE18BA"/>
    <w:rsid w:val="00DE2A7A"/>
    <w:rsid w:val="00DE3284"/>
    <w:rsid w:val="00DE3945"/>
    <w:rsid w:val="00DE5B53"/>
    <w:rsid w:val="00DF117B"/>
    <w:rsid w:val="00DF1281"/>
    <w:rsid w:val="00DF3F51"/>
    <w:rsid w:val="00DF5556"/>
    <w:rsid w:val="00E01EFD"/>
    <w:rsid w:val="00E03D1C"/>
    <w:rsid w:val="00E04143"/>
    <w:rsid w:val="00E060D6"/>
    <w:rsid w:val="00E066C0"/>
    <w:rsid w:val="00E07E6F"/>
    <w:rsid w:val="00E146B1"/>
    <w:rsid w:val="00E17F3C"/>
    <w:rsid w:val="00E21FEE"/>
    <w:rsid w:val="00E23658"/>
    <w:rsid w:val="00E24533"/>
    <w:rsid w:val="00E25357"/>
    <w:rsid w:val="00E2794B"/>
    <w:rsid w:val="00E27F8E"/>
    <w:rsid w:val="00E31584"/>
    <w:rsid w:val="00E31672"/>
    <w:rsid w:val="00E326AC"/>
    <w:rsid w:val="00E32F56"/>
    <w:rsid w:val="00E35284"/>
    <w:rsid w:val="00E35375"/>
    <w:rsid w:val="00E35AEF"/>
    <w:rsid w:val="00E413CA"/>
    <w:rsid w:val="00E419D4"/>
    <w:rsid w:val="00E471C8"/>
    <w:rsid w:val="00E51067"/>
    <w:rsid w:val="00E52701"/>
    <w:rsid w:val="00E53FC8"/>
    <w:rsid w:val="00E5600D"/>
    <w:rsid w:val="00E57147"/>
    <w:rsid w:val="00E60FFA"/>
    <w:rsid w:val="00E62206"/>
    <w:rsid w:val="00E62E1F"/>
    <w:rsid w:val="00E638C4"/>
    <w:rsid w:val="00E640ED"/>
    <w:rsid w:val="00E6633E"/>
    <w:rsid w:val="00E669DA"/>
    <w:rsid w:val="00E677D3"/>
    <w:rsid w:val="00E71EC0"/>
    <w:rsid w:val="00E72F9B"/>
    <w:rsid w:val="00E74CB1"/>
    <w:rsid w:val="00E75C09"/>
    <w:rsid w:val="00E76252"/>
    <w:rsid w:val="00E775AD"/>
    <w:rsid w:val="00E8157B"/>
    <w:rsid w:val="00E8228C"/>
    <w:rsid w:val="00E86121"/>
    <w:rsid w:val="00E8682B"/>
    <w:rsid w:val="00E86FEB"/>
    <w:rsid w:val="00E9153B"/>
    <w:rsid w:val="00E93B66"/>
    <w:rsid w:val="00E9579B"/>
    <w:rsid w:val="00E964C1"/>
    <w:rsid w:val="00EA2454"/>
    <w:rsid w:val="00EA3676"/>
    <w:rsid w:val="00EB2A3F"/>
    <w:rsid w:val="00EB3C2A"/>
    <w:rsid w:val="00EB6CD0"/>
    <w:rsid w:val="00EB7435"/>
    <w:rsid w:val="00EC276C"/>
    <w:rsid w:val="00EC339A"/>
    <w:rsid w:val="00EC4F20"/>
    <w:rsid w:val="00EC5A17"/>
    <w:rsid w:val="00EC7EEA"/>
    <w:rsid w:val="00ED182B"/>
    <w:rsid w:val="00ED239B"/>
    <w:rsid w:val="00ED28C8"/>
    <w:rsid w:val="00ED4D75"/>
    <w:rsid w:val="00ED5C55"/>
    <w:rsid w:val="00ED6DDE"/>
    <w:rsid w:val="00EE0A1F"/>
    <w:rsid w:val="00EE20B1"/>
    <w:rsid w:val="00EE296D"/>
    <w:rsid w:val="00EE3050"/>
    <w:rsid w:val="00EE46DF"/>
    <w:rsid w:val="00EE586D"/>
    <w:rsid w:val="00EF0827"/>
    <w:rsid w:val="00EF2492"/>
    <w:rsid w:val="00EF489A"/>
    <w:rsid w:val="00F02B47"/>
    <w:rsid w:val="00F04027"/>
    <w:rsid w:val="00F054E0"/>
    <w:rsid w:val="00F12B2B"/>
    <w:rsid w:val="00F14853"/>
    <w:rsid w:val="00F14925"/>
    <w:rsid w:val="00F211F1"/>
    <w:rsid w:val="00F33F9E"/>
    <w:rsid w:val="00F34228"/>
    <w:rsid w:val="00F346D4"/>
    <w:rsid w:val="00F37921"/>
    <w:rsid w:val="00F41546"/>
    <w:rsid w:val="00F43D1E"/>
    <w:rsid w:val="00F45440"/>
    <w:rsid w:val="00F45732"/>
    <w:rsid w:val="00F47816"/>
    <w:rsid w:val="00F502B8"/>
    <w:rsid w:val="00F50484"/>
    <w:rsid w:val="00F51098"/>
    <w:rsid w:val="00F529F1"/>
    <w:rsid w:val="00F532D1"/>
    <w:rsid w:val="00F53D26"/>
    <w:rsid w:val="00F55C03"/>
    <w:rsid w:val="00F61C82"/>
    <w:rsid w:val="00F63FA0"/>
    <w:rsid w:val="00F67240"/>
    <w:rsid w:val="00F70330"/>
    <w:rsid w:val="00F70C14"/>
    <w:rsid w:val="00F74E21"/>
    <w:rsid w:val="00F77A10"/>
    <w:rsid w:val="00F8110A"/>
    <w:rsid w:val="00F83857"/>
    <w:rsid w:val="00F84B37"/>
    <w:rsid w:val="00F84DA9"/>
    <w:rsid w:val="00F84E5F"/>
    <w:rsid w:val="00F8580A"/>
    <w:rsid w:val="00F86C29"/>
    <w:rsid w:val="00F873BC"/>
    <w:rsid w:val="00F909D8"/>
    <w:rsid w:val="00F90D71"/>
    <w:rsid w:val="00F910AC"/>
    <w:rsid w:val="00F960F5"/>
    <w:rsid w:val="00F97256"/>
    <w:rsid w:val="00F973FC"/>
    <w:rsid w:val="00FA2010"/>
    <w:rsid w:val="00FA5AA0"/>
    <w:rsid w:val="00FB0625"/>
    <w:rsid w:val="00FB31C4"/>
    <w:rsid w:val="00FB48C6"/>
    <w:rsid w:val="00FB5C1C"/>
    <w:rsid w:val="00FC0D35"/>
    <w:rsid w:val="00FC615B"/>
    <w:rsid w:val="00FC72F3"/>
    <w:rsid w:val="00FD12FE"/>
    <w:rsid w:val="00FD3FF9"/>
    <w:rsid w:val="00FD4715"/>
    <w:rsid w:val="00FD5A26"/>
    <w:rsid w:val="00FD6B8C"/>
    <w:rsid w:val="00FE0D3F"/>
    <w:rsid w:val="00FE2E4F"/>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64059D24"/>
  <w15:docId w15:val="{3043FAE2-45A4-4E90-8833-99FC443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986010219">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681">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anodonnell@westlondonwast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beal@westlondonwast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patel@westlondonwast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WLW-FP01\WLWA-FINANCE\2018-19\Statutory%20Accounts\Draft%20and%20Final%20Accounts\Stats%20for%20narrative%20report%2018-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W-FP01\WLWA-FINANCE\2018-19\Statutory%20Accounts\Draft%20and%20Final%20Accounts\reports%20and%20workings\Stats%20for%20narrative%20report%2018-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W-FP01\WLWA-FINANCE\2018-19\Statutory%20Accounts\Draft%20and%20Final%20Accounts\Stats%20for%20narrative%20report%201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'cost trends'!$A$12</c:f>
              <c:strCache>
                <c:ptCount val="1"/>
                <c:pt idx="0">
                  <c:v>Total WLWA cost per tonne</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'cost trends'!$B$11:$H$11</c:f>
              <c:strCache>
                <c:ptCount val="7"/>
                <c:pt idx="0">
                  <c:v>2012/13</c:v>
                </c:pt>
                <c:pt idx="1">
                  <c:v>2013/14</c:v>
                </c:pt>
                <c:pt idx="2">
                  <c:v>2014/15</c:v>
                </c:pt>
                <c:pt idx="3">
                  <c:v>2015/16</c:v>
                </c:pt>
                <c:pt idx="4">
                  <c:v>2016/17</c:v>
                </c:pt>
                <c:pt idx="5">
                  <c:v>2017/18</c:v>
                </c:pt>
                <c:pt idx="6">
                  <c:v>2018/19</c:v>
                </c:pt>
              </c:strCache>
            </c:strRef>
          </c:cat>
          <c:val>
            <c:numRef>
              <c:f>'cost trends'!$B$12:$H$12</c:f>
              <c:numCache>
                <c:formatCode>"£"#,##0.00</c:formatCode>
                <c:ptCount val="7"/>
                <c:pt idx="0">
                  <c:v>96.29684601113172</c:v>
                </c:pt>
                <c:pt idx="1">
                  <c:v>96.082601054481543</c:v>
                </c:pt>
                <c:pt idx="2">
                  <c:v>96.05061082024433</c:v>
                </c:pt>
                <c:pt idx="3">
                  <c:v>101.33810375670841</c:v>
                </c:pt>
                <c:pt idx="4">
                  <c:v>92.472222222222229</c:v>
                </c:pt>
                <c:pt idx="5">
                  <c:v>98.211469534050181</c:v>
                </c:pt>
                <c:pt idx="6">
                  <c:v>99.763345195729542</c:v>
                </c:pt>
              </c:numCache>
            </c:numRef>
          </c:val>
          <c:extLst>
            <c:ext xmlns:c16="http://schemas.microsoft.com/office/drawing/2014/chart" uri="{C3380CC4-5D6E-409C-BE32-E72D297353CC}">
              <c16:uniqueId val="{00000000-BEF6-4D1F-B5C4-CD61FB87A360}"/>
            </c:ext>
          </c:extLst>
        </c:ser>
        <c:dLbls>
          <c:showLegendKey val="0"/>
          <c:showVal val="0"/>
          <c:showCatName val="0"/>
          <c:showSerName val="0"/>
          <c:showPercent val="0"/>
          <c:showBubbleSize val="0"/>
        </c:dLbls>
        <c:gapWidth val="150"/>
        <c:shape val="box"/>
        <c:axId val="130877696"/>
        <c:axId val="130932736"/>
        <c:axId val="0"/>
      </c:bar3DChart>
      <c:catAx>
        <c:axId val="130877696"/>
        <c:scaling>
          <c:orientation val="minMax"/>
        </c:scaling>
        <c:delete val="0"/>
        <c:axPos val="b"/>
        <c:numFmt formatCode="General" sourceLinked="0"/>
        <c:majorTickMark val="out"/>
        <c:minorTickMark val="none"/>
        <c:tickLblPos val="nextTo"/>
        <c:crossAx val="130932736"/>
        <c:crosses val="autoZero"/>
        <c:auto val="1"/>
        <c:lblAlgn val="ctr"/>
        <c:lblOffset val="100"/>
        <c:noMultiLvlLbl val="0"/>
      </c:catAx>
      <c:valAx>
        <c:axId val="130932736"/>
        <c:scaling>
          <c:orientation val="minMax"/>
          <c:min val="0"/>
        </c:scaling>
        <c:delete val="0"/>
        <c:axPos val="l"/>
        <c:majorGridlines/>
        <c:numFmt formatCode="&quot;£&quot;#,##0.00" sourceLinked="1"/>
        <c:majorTickMark val="out"/>
        <c:minorTickMark val="none"/>
        <c:tickLblPos val="nextTo"/>
        <c:crossAx val="130877696"/>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Surplus / (deficit) on provision of services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'cost trends'!$A$21</c:f>
              <c:strCache>
                <c:ptCount val="1"/>
                <c:pt idx="0">
                  <c:v>Surplus / (deficit) on provision of services</c:v>
                </c:pt>
              </c:strCache>
            </c:strRef>
          </c:tx>
          <c:spPr>
            <a:solidFill>
              <a:srgbClr val="92D050"/>
            </a:solidFill>
          </c:spPr>
          <c:invertIfNegative val="0"/>
          <c:dPt>
            <c:idx val="0"/>
            <c:invertIfNegative val="0"/>
            <c:bubble3D val="0"/>
            <c:spPr>
              <a:solidFill>
                <a:srgbClr val="FF0000"/>
              </a:solidFill>
            </c:spPr>
            <c:extLst>
              <c:ext xmlns:c16="http://schemas.microsoft.com/office/drawing/2014/chart" uri="{C3380CC4-5D6E-409C-BE32-E72D297353CC}">
                <c16:uniqueId val="{00000001-FE8C-4D80-AC83-C8D1F7E10F1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'cost trends'!$B$20:$H$20</c:f>
              <c:strCache>
                <c:ptCount val="7"/>
                <c:pt idx="0">
                  <c:v>2012/13</c:v>
                </c:pt>
                <c:pt idx="1">
                  <c:v>2013/14</c:v>
                </c:pt>
                <c:pt idx="2">
                  <c:v>2014/15</c:v>
                </c:pt>
                <c:pt idx="3">
                  <c:v>2015/16</c:v>
                </c:pt>
                <c:pt idx="4">
                  <c:v>2016/17</c:v>
                </c:pt>
                <c:pt idx="5">
                  <c:v>2017/18</c:v>
                </c:pt>
                <c:pt idx="6">
                  <c:v>2018/19</c:v>
                </c:pt>
              </c:strCache>
            </c:strRef>
          </c:cat>
          <c:val>
            <c:numRef>
              <c:f>'cost trends'!$B$21:$H$21</c:f>
              <c:numCache>
                <c:formatCode>#,##0</c:formatCode>
                <c:ptCount val="7"/>
                <c:pt idx="0">
                  <c:v>-1372</c:v>
                </c:pt>
                <c:pt idx="1">
                  <c:v>3905</c:v>
                </c:pt>
                <c:pt idx="2">
                  <c:v>1420</c:v>
                </c:pt>
                <c:pt idx="3">
                  <c:v>2477</c:v>
                </c:pt>
                <c:pt idx="4">
                  <c:v>2013</c:v>
                </c:pt>
                <c:pt idx="5">
                  <c:v>1060</c:v>
                </c:pt>
                <c:pt idx="6">
                  <c:v>2874</c:v>
                </c:pt>
              </c:numCache>
            </c:numRef>
          </c:val>
          <c:extLst>
            <c:ext xmlns:c16="http://schemas.microsoft.com/office/drawing/2014/chart" uri="{C3380CC4-5D6E-409C-BE32-E72D297353CC}">
              <c16:uniqueId val="{00000002-FE8C-4D80-AC83-C8D1F7E10F15}"/>
            </c:ext>
          </c:extLst>
        </c:ser>
        <c:dLbls>
          <c:showLegendKey val="0"/>
          <c:showVal val="0"/>
          <c:showCatName val="0"/>
          <c:showSerName val="0"/>
          <c:showPercent val="0"/>
          <c:showBubbleSize val="0"/>
        </c:dLbls>
        <c:gapWidth val="150"/>
        <c:shape val="box"/>
        <c:axId val="132311680"/>
        <c:axId val="133702016"/>
        <c:axId val="0"/>
      </c:bar3DChart>
      <c:catAx>
        <c:axId val="132311680"/>
        <c:scaling>
          <c:orientation val="minMax"/>
        </c:scaling>
        <c:delete val="0"/>
        <c:axPos val="b"/>
        <c:numFmt formatCode="General" sourceLinked="0"/>
        <c:majorTickMark val="out"/>
        <c:minorTickMark val="none"/>
        <c:tickLblPos val="nextTo"/>
        <c:txPr>
          <a:bodyPr rot="0"/>
          <a:lstStyle/>
          <a:p>
            <a:pPr>
              <a:defRPr/>
            </a:pPr>
            <a:endParaRPr lang="en-US"/>
          </a:p>
        </c:txPr>
        <c:crossAx val="133702016"/>
        <c:crosses val="autoZero"/>
        <c:auto val="1"/>
        <c:lblAlgn val="ctr"/>
        <c:lblOffset val="100"/>
        <c:noMultiLvlLbl val="0"/>
      </c:catAx>
      <c:valAx>
        <c:axId val="133702016"/>
        <c:scaling>
          <c:orientation val="minMax"/>
        </c:scaling>
        <c:delete val="0"/>
        <c:axPos val="l"/>
        <c:majorGridlines/>
        <c:numFmt formatCode="#,##0" sourceLinked="1"/>
        <c:majorTickMark val="out"/>
        <c:minorTickMark val="none"/>
        <c:tickLblPos val="nextTo"/>
        <c:crossAx val="132311680"/>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Reserve</a:t>
            </a:r>
            <a:r>
              <a:rPr lang="en-US" baseline="0"/>
              <a:t>s to manage risk</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'cost trends'!$A$18</c:f>
              <c:strCache>
                <c:ptCount val="1"/>
                <c:pt idx="0">
                  <c:v>Reserves excluding revaluation reserves</c:v>
                </c:pt>
              </c:strCache>
            </c:strRef>
          </c:tx>
          <c:spPr>
            <a:solidFill>
              <a:srgbClr val="92D050"/>
            </a:solidFill>
          </c:spPr>
          <c:invertIfNegative val="0"/>
          <c:dPt>
            <c:idx val="0"/>
            <c:invertIfNegative val="0"/>
            <c:bubble3D val="0"/>
            <c:spPr>
              <a:solidFill>
                <a:srgbClr val="FF0000"/>
              </a:solidFill>
            </c:spPr>
            <c:extLst>
              <c:ext xmlns:c16="http://schemas.microsoft.com/office/drawing/2014/chart" uri="{C3380CC4-5D6E-409C-BE32-E72D297353CC}">
                <c16:uniqueId val="{00000001-73FF-4DBE-840A-B1B8B43EAE5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'cost trends'!$B$17:$H$17</c:f>
              <c:strCache>
                <c:ptCount val="7"/>
                <c:pt idx="0">
                  <c:v>2012/13</c:v>
                </c:pt>
                <c:pt idx="1">
                  <c:v>2013/14</c:v>
                </c:pt>
                <c:pt idx="2">
                  <c:v>2014/15</c:v>
                </c:pt>
                <c:pt idx="3">
                  <c:v>2015/16</c:v>
                </c:pt>
                <c:pt idx="4">
                  <c:v>2016/17</c:v>
                </c:pt>
                <c:pt idx="5">
                  <c:v>2017/18</c:v>
                </c:pt>
                <c:pt idx="6">
                  <c:v>2018/19</c:v>
                </c:pt>
              </c:strCache>
            </c:strRef>
          </c:cat>
          <c:val>
            <c:numRef>
              <c:f>'cost trends'!$B$18:$H$18</c:f>
              <c:numCache>
                <c:formatCode>#,##0</c:formatCode>
                <c:ptCount val="7"/>
                <c:pt idx="0">
                  <c:v>-2799</c:v>
                </c:pt>
                <c:pt idx="1">
                  <c:v>3736</c:v>
                </c:pt>
                <c:pt idx="2">
                  <c:v>2525</c:v>
                </c:pt>
                <c:pt idx="3">
                  <c:v>5965</c:v>
                </c:pt>
                <c:pt idx="4">
                  <c:v>3699</c:v>
                </c:pt>
                <c:pt idx="5">
                  <c:v>6452</c:v>
                </c:pt>
                <c:pt idx="6">
                  <c:v>10863</c:v>
                </c:pt>
              </c:numCache>
            </c:numRef>
          </c:val>
          <c:extLst>
            <c:ext xmlns:c16="http://schemas.microsoft.com/office/drawing/2014/chart" uri="{C3380CC4-5D6E-409C-BE32-E72D297353CC}">
              <c16:uniqueId val="{00000002-73FF-4DBE-840A-B1B8B43EAE5F}"/>
            </c:ext>
          </c:extLst>
        </c:ser>
        <c:dLbls>
          <c:showLegendKey val="0"/>
          <c:showVal val="0"/>
          <c:showCatName val="0"/>
          <c:showSerName val="0"/>
          <c:showPercent val="0"/>
          <c:showBubbleSize val="0"/>
        </c:dLbls>
        <c:gapWidth val="150"/>
        <c:shape val="box"/>
        <c:axId val="132285184"/>
        <c:axId val="132286720"/>
        <c:axId val="0"/>
      </c:bar3DChart>
      <c:catAx>
        <c:axId val="132285184"/>
        <c:scaling>
          <c:orientation val="minMax"/>
        </c:scaling>
        <c:delete val="0"/>
        <c:axPos val="b"/>
        <c:numFmt formatCode="General" sourceLinked="0"/>
        <c:majorTickMark val="out"/>
        <c:minorTickMark val="none"/>
        <c:tickLblPos val="nextTo"/>
        <c:txPr>
          <a:bodyPr rot="0"/>
          <a:lstStyle/>
          <a:p>
            <a:pPr>
              <a:defRPr/>
            </a:pPr>
            <a:endParaRPr lang="en-US"/>
          </a:p>
        </c:txPr>
        <c:crossAx val="132286720"/>
        <c:crosses val="autoZero"/>
        <c:auto val="1"/>
        <c:lblAlgn val="ctr"/>
        <c:lblOffset val="100"/>
        <c:noMultiLvlLbl val="0"/>
      </c:catAx>
      <c:valAx>
        <c:axId val="132286720"/>
        <c:scaling>
          <c:orientation val="minMax"/>
        </c:scaling>
        <c:delete val="0"/>
        <c:axPos val="l"/>
        <c:majorGridlines/>
        <c:numFmt formatCode="#,##0" sourceLinked="1"/>
        <c:majorTickMark val="out"/>
        <c:minorTickMark val="none"/>
        <c:tickLblPos val="nextTo"/>
        <c:crossAx val="132285184"/>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3D749-6CD1-4A58-A34F-A6CD92AA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1958</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12722</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3997768</vt:i4>
      </vt:variant>
      <vt:variant>
        <vt:i4>3</vt:i4>
      </vt:variant>
      <vt:variant>
        <vt:i4>0</vt:i4>
      </vt:variant>
      <vt:variant>
        <vt:i4>5</vt:i4>
      </vt:variant>
      <vt:variant>
        <vt:lpwstr>mailto:jimbrennan@westlondonwaste.gov.uk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Jay Patel</cp:lastModifiedBy>
  <cp:revision>32</cp:revision>
  <cp:lastPrinted>2018-05-23T09:25:00Z</cp:lastPrinted>
  <dcterms:created xsi:type="dcterms:W3CDTF">2019-04-17T14:18:00Z</dcterms:created>
  <dcterms:modified xsi:type="dcterms:W3CDTF">2019-06-18T13:40:00Z</dcterms:modified>
</cp:coreProperties>
</file>